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1876" w:tblpY="1726"/>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664B7D" w14:paraId="0CCF2A15" w14:textId="77777777" w:rsidTr="00D2400C">
        <w:trPr>
          <w:trHeight w:val="257"/>
        </w:trPr>
        <w:tc>
          <w:tcPr>
            <w:tcW w:w="7706" w:type="dxa"/>
            <w:tcMar>
              <w:top w:w="216" w:type="dxa"/>
              <w:left w:w="115" w:type="dxa"/>
              <w:bottom w:w="216" w:type="dxa"/>
              <w:right w:w="115" w:type="dxa"/>
            </w:tcMar>
          </w:tcPr>
          <w:p w14:paraId="28B54D2B" w14:textId="77777777" w:rsidR="004A6516" w:rsidRPr="00664B7D" w:rsidRDefault="00666387" w:rsidP="005F1627">
            <w:pPr>
              <w:pStyle w:val="Bezodstpw"/>
              <w:rPr>
                <w:rFonts w:ascii="Arial" w:hAnsi="Arial" w:cs="Arial"/>
                <w:sz w:val="36"/>
                <w:szCs w:val="36"/>
              </w:rPr>
            </w:pPr>
            <w:r w:rsidRPr="00664B7D">
              <w:rPr>
                <w:rFonts w:ascii="Arial" w:hAnsi="Arial" w:cs="Arial"/>
                <w:sz w:val="36"/>
                <w:szCs w:val="36"/>
              </w:rPr>
              <w:t>Urząd Marszałkowski Województwa Warmińsko-Mazurskiego w Olsztynie</w:t>
            </w:r>
          </w:p>
          <w:p w14:paraId="0B7527B8" w14:textId="77777777" w:rsidR="009C4FDC" w:rsidRDefault="009C4FDC" w:rsidP="005F1627">
            <w:pPr>
              <w:pStyle w:val="Bezodstpw"/>
              <w:rPr>
                <w:rFonts w:ascii="Arial" w:hAnsi="Arial" w:cs="Arial"/>
                <w:sz w:val="36"/>
                <w:szCs w:val="36"/>
              </w:rPr>
            </w:pPr>
          </w:p>
          <w:p w14:paraId="4E5E2570" w14:textId="18C9A96B" w:rsidR="008213DF" w:rsidRPr="00664B7D" w:rsidRDefault="008213DF" w:rsidP="005F1627">
            <w:pPr>
              <w:pStyle w:val="Bezodstpw"/>
              <w:rPr>
                <w:rFonts w:ascii="Arial" w:hAnsi="Arial" w:cs="Arial"/>
                <w:sz w:val="36"/>
                <w:szCs w:val="36"/>
              </w:rPr>
            </w:pPr>
          </w:p>
        </w:tc>
      </w:tr>
      <w:tr w:rsidR="004A6516" w:rsidRPr="00664B7D" w14:paraId="583816DC" w14:textId="77777777" w:rsidTr="00D2400C">
        <w:trPr>
          <w:trHeight w:val="1862"/>
        </w:trPr>
        <w:tc>
          <w:tcPr>
            <w:tcW w:w="7706" w:type="dxa"/>
          </w:tcPr>
          <w:p w14:paraId="028E2CCB" w14:textId="77777777" w:rsidR="00A636DD" w:rsidRPr="00664B7D" w:rsidRDefault="00666387" w:rsidP="005F1627">
            <w:pPr>
              <w:pStyle w:val="Bezodstpw"/>
              <w:spacing w:line="216" w:lineRule="auto"/>
              <w:rPr>
                <w:rFonts w:ascii="Arial" w:eastAsiaTheme="majorEastAsia" w:hAnsi="Arial" w:cs="Arial"/>
                <w:b/>
                <w:bCs/>
                <w:sz w:val="32"/>
                <w:szCs w:val="32"/>
              </w:rPr>
            </w:pPr>
            <w:r w:rsidRPr="00664B7D">
              <w:rPr>
                <w:rFonts w:ascii="Arial" w:eastAsiaTheme="majorEastAsia" w:hAnsi="Arial" w:cs="Arial"/>
                <w:b/>
                <w:bCs/>
                <w:sz w:val="32"/>
                <w:szCs w:val="32"/>
              </w:rPr>
              <w:t>Regulamin wyboru projekt</w:t>
            </w:r>
            <w:r w:rsidR="0084451C" w:rsidRPr="00664B7D">
              <w:rPr>
                <w:rFonts w:ascii="Arial" w:eastAsiaTheme="majorEastAsia" w:hAnsi="Arial" w:cs="Arial"/>
                <w:b/>
                <w:bCs/>
                <w:sz w:val="32"/>
                <w:szCs w:val="32"/>
              </w:rPr>
              <w:t>ów</w:t>
            </w:r>
            <w:r w:rsidR="002D04D5" w:rsidRPr="00664B7D">
              <w:rPr>
                <w:rFonts w:ascii="Arial" w:eastAsiaTheme="majorEastAsia" w:hAnsi="Arial" w:cs="Arial"/>
                <w:b/>
                <w:bCs/>
                <w:sz w:val="32"/>
                <w:szCs w:val="32"/>
              </w:rPr>
              <w:t xml:space="preserve"> </w:t>
            </w:r>
            <w:r w:rsidR="00A636DD" w:rsidRPr="00664B7D">
              <w:rPr>
                <w:rFonts w:ascii="Arial" w:eastAsiaTheme="majorEastAsia" w:hAnsi="Arial" w:cs="Arial"/>
                <w:b/>
                <w:bCs/>
                <w:sz w:val="32"/>
                <w:szCs w:val="32"/>
              </w:rPr>
              <w:t>w sposób niekonkurencyjny</w:t>
            </w:r>
          </w:p>
          <w:p w14:paraId="23590DF6" w14:textId="77777777" w:rsidR="0088616C" w:rsidRPr="00664B7D" w:rsidRDefault="0088616C" w:rsidP="005F1627">
            <w:pPr>
              <w:pStyle w:val="Bezodstpw"/>
              <w:spacing w:line="216" w:lineRule="auto"/>
              <w:rPr>
                <w:rFonts w:ascii="Arial" w:eastAsiaTheme="majorEastAsia" w:hAnsi="Arial" w:cs="Arial"/>
                <w:b/>
                <w:bCs/>
                <w:sz w:val="32"/>
                <w:szCs w:val="32"/>
              </w:rPr>
            </w:pPr>
          </w:p>
          <w:p w14:paraId="7BD9501E" w14:textId="57BA9A81" w:rsidR="00A85FCF" w:rsidRPr="00664B7D" w:rsidRDefault="00AD0CC4" w:rsidP="005F1627">
            <w:pPr>
              <w:pStyle w:val="Bezodstpw"/>
              <w:spacing w:line="216" w:lineRule="auto"/>
              <w:rPr>
                <w:rFonts w:ascii="Arial" w:eastAsiaTheme="majorEastAsia" w:hAnsi="Arial" w:cs="Arial"/>
                <w:sz w:val="32"/>
                <w:szCs w:val="32"/>
              </w:rPr>
            </w:pPr>
            <w:r w:rsidRPr="00664B7D">
              <w:rPr>
                <w:rFonts w:ascii="Arial" w:eastAsiaTheme="majorEastAsia" w:hAnsi="Arial" w:cs="Arial"/>
                <w:b/>
                <w:bCs/>
                <w:sz w:val="32"/>
                <w:szCs w:val="32"/>
              </w:rPr>
              <w:t>WSPARCIE ORGANIZACJI SPOŁECZEŃSTWA OBYWATELSKIEGO I PARTNERÓW SPOŁECZNYCH</w:t>
            </w:r>
            <w:r w:rsidR="002D04D5" w:rsidRPr="00664B7D">
              <w:rPr>
                <w:sz w:val="32"/>
                <w:szCs w:val="32"/>
              </w:rPr>
              <w:t xml:space="preserve"> </w:t>
            </w:r>
            <w:r w:rsidR="002D04D5" w:rsidRPr="00664B7D">
              <w:rPr>
                <w:rFonts w:ascii="Arial" w:eastAsiaTheme="majorEastAsia" w:hAnsi="Arial" w:cs="Arial"/>
                <w:sz w:val="32"/>
                <w:szCs w:val="32"/>
              </w:rPr>
              <w:t>współfinansowan</w:t>
            </w:r>
            <w:r w:rsidR="003E0CFA" w:rsidRPr="00664B7D">
              <w:rPr>
                <w:rFonts w:ascii="Arial" w:eastAsiaTheme="majorEastAsia" w:hAnsi="Arial" w:cs="Arial"/>
                <w:sz w:val="32"/>
                <w:szCs w:val="32"/>
              </w:rPr>
              <w:t>y</w:t>
            </w:r>
            <w:r w:rsidR="002D04D5" w:rsidRPr="00664B7D">
              <w:rPr>
                <w:rFonts w:ascii="Arial" w:eastAsiaTheme="majorEastAsia" w:hAnsi="Arial" w:cs="Arial"/>
                <w:sz w:val="32"/>
                <w:szCs w:val="32"/>
              </w:rPr>
              <w:t xml:space="preserve"> ze środków Europejskiego Funduszu Społecznego+</w:t>
            </w:r>
          </w:p>
          <w:p w14:paraId="5AE38B5A" w14:textId="77777777" w:rsidR="00A85FCF" w:rsidRPr="00664B7D" w:rsidRDefault="00666387" w:rsidP="005F1627">
            <w:pPr>
              <w:pStyle w:val="Bezodstpw"/>
              <w:spacing w:line="216" w:lineRule="auto"/>
              <w:rPr>
                <w:rFonts w:ascii="Arial" w:eastAsiaTheme="majorEastAsia" w:hAnsi="Arial" w:cs="Arial"/>
                <w:sz w:val="32"/>
                <w:szCs w:val="32"/>
              </w:rPr>
            </w:pPr>
            <w:r w:rsidRPr="00664B7D">
              <w:rPr>
                <w:rFonts w:ascii="Arial" w:eastAsiaTheme="majorEastAsia" w:hAnsi="Arial" w:cs="Arial"/>
                <w:sz w:val="32"/>
                <w:szCs w:val="32"/>
              </w:rPr>
              <w:t>w ramach programu</w:t>
            </w:r>
          </w:p>
          <w:p w14:paraId="6665F0A8" w14:textId="77777777" w:rsidR="004A6516" w:rsidRPr="00664B7D" w:rsidRDefault="00666387" w:rsidP="005F1627">
            <w:pPr>
              <w:pStyle w:val="Bezodstpw"/>
              <w:spacing w:line="216" w:lineRule="auto"/>
              <w:rPr>
                <w:rFonts w:ascii="Arial" w:eastAsiaTheme="majorEastAsia" w:hAnsi="Arial" w:cs="Arial"/>
                <w:sz w:val="32"/>
                <w:szCs w:val="32"/>
              </w:rPr>
            </w:pPr>
            <w:r w:rsidRPr="00664B7D">
              <w:rPr>
                <w:rFonts w:ascii="Arial" w:eastAsiaTheme="majorEastAsia" w:hAnsi="Arial" w:cs="Arial"/>
                <w:sz w:val="32"/>
                <w:szCs w:val="32"/>
              </w:rPr>
              <w:t>Fundusze Europejskie dla Warmii i Mazur (</w:t>
            </w:r>
            <w:proofErr w:type="spellStart"/>
            <w:r w:rsidRPr="00664B7D">
              <w:rPr>
                <w:rFonts w:ascii="Arial" w:eastAsiaTheme="majorEastAsia" w:hAnsi="Arial" w:cs="Arial"/>
                <w:sz w:val="32"/>
                <w:szCs w:val="32"/>
              </w:rPr>
              <w:t>FEWiM</w:t>
            </w:r>
            <w:proofErr w:type="spellEnd"/>
            <w:r w:rsidRPr="00664B7D">
              <w:rPr>
                <w:rFonts w:ascii="Arial" w:eastAsiaTheme="majorEastAsia" w:hAnsi="Arial" w:cs="Arial"/>
                <w:sz w:val="32"/>
                <w:szCs w:val="32"/>
              </w:rPr>
              <w:t>) 2021-2027</w:t>
            </w:r>
          </w:p>
          <w:p w14:paraId="6FCE4B9F" w14:textId="77777777" w:rsidR="009C4FDC" w:rsidRPr="00664B7D" w:rsidRDefault="009C4FDC" w:rsidP="005F1627">
            <w:pPr>
              <w:pStyle w:val="Bezodstpw"/>
              <w:spacing w:line="216" w:lineRule="auto"/>
              <w:rPr>
                <w:rFonts w:ascii="Arial" w:eastAsiaTheme="majorEastAsia" w:hAnsi="Arial" w:cs="Arial"/>
                <w:sz w:val="32"/>
                <w:szCs w:val="32"/>
              </w:rPr>
            </w:pPr>
          </w:p>
        </w:tc>
      </w:tr>
      <w:tr w:rsidR="004A6516" w:rsidRPr="00664B7D" w14:paraId="141AFA7C" w14:textId="77777777" w:rsidTr="00D2400C">
        <w:trPr>
          <w:trHeight w:val="247"/>
        </w:trPr>
        <w:tc>
          <w:tcPr>
            <w:tcW w:w="7706" w:type="dxa"/>
            <w:tcMar>
              <w:top w:w="216" w:type="dxa"/>
              <w:left w:w="115" w:type="dxa"/>
              <w:bottom w:w="216" w:type="dxa"/>
              <w:right w:w="115" w:type="dxa"/>
            </w:tcMar>
          </w:tcPr>
          <w:p w14:paraId="7AD1D8C0" w14:textId="77777777" w:rsidR="004A6516" w:rsidRPr="00664B7D" w:rsidRDefault="004A6516" w:rsidP="005F1627">
            <w:pPr>
              <w:pStyle w:val="Bezodstpw"/>
              <w:rPr>
                <w:rFonts w:ascii="Arial" w:hAnsi="Arial" w:cs="Arial"/>
                <w:bCs/>
                <w:sz w:val="26"/>
                <w:szCs w:val="26"/>
              </w:rPr>
            </w:pPr>
            <w:r w:rsidRPr="00664B7D">
              <w:rPr>
                <w:rFonts w:ascii="Arial" w:hAnsi="Arial" w:cs="Arial"/>
                <w:b/>
                <w:sz w:val="26"/>
                <w:szCs w:val="26"/>
              </w:rPr>
              <w:t xml:space="preserve">Priorytet 6: </w:t>
            </w:r>
            <w:r w:rsidRPr="00664B7D">
              <w:rPr>
                <w:rFonts w:ascii="Arial" w:hAnsi="Arial" w:cs="Arial"/>
                <w:bCs/>
                <w:sz w:val="26"/>
                <w:szCs w:val="26"/>
              </w:rPr>
              <w:t>Edukacja i kompetencje EFS+</w:t>
            </w:r>
          </w:p>
          <w:p w14:paraId="5F752DFE" w14:textId="536A8D0B" w:rsidR="009C4FDC" w:rsidRPr="00664B7D" w:rsidRDefault="009C4FDC" w:rsidP="005F1627">
            <w:pPr>
              <w:pStyle w:val="Bezodstpw"/>
              <w:rPr>
                <w:rFonts w:ascii="Arial" w:hAnsi="Arial" w:cs="Arial"/>
                <w:sz w:val="26"/>
                <w:szCs w:val="26"/>
              </w:rPr>
            </w:pPr>
            <w:r w:rsidRPr="00664B7D">
              <w:rPr>
                <w:rFonts w:ascii="Arial" w:hAnsi="Arial" w:cs="Arial"/>
                <w:b/>
                <w:bCs/>
                <w:sz w:val="26"/>
                <w:szCs w:val="26"/>
              </w:rPr>
              <w:t>Działanie 6.</w:t>
            </w:r>
            <w:r w:rsidR="00AD0CC4" w:rsidRPr="00664B7D">
              <w:rPr>
                <w:rFonts w:ascii="Arial" w:hAnsi="Arial" w:cs="Arial"/>
                <w:b/>
                <w:bCs/>
                <w:sz w:val="26"/>
                <w:szCs w:val="26"/>
              </w:rPr>
              <w:t>5</w:t>
            </w:r>
            <w:r w:rsidRPr="00664B7D">
              <w:rPr>
                <w:rFonts w:ascii="Arial" w:hAnsi="Arial" w:cs="Arial"/>
                <w:b/>
                <w:bCs/>
                <w:sz w:val="26"/>
                <w:szCs w:val="26"/>
              </w:rPr>
              <w:t>:</w:t>
            </w:r>
            <w:r w:rsidRPr="00664B7D">
              <w:rPr>
                <w:rFonts w:ascii="Arial" w:hAnsi="Arial" w:cs="Arial"/>
                <w:sz w:val="26"/>
                <w:szCs w:val="26"/>
              </w:rPr>
              <w:t xml:space="preserve"> Edukacja</w:t>
            </w:r>
            <w:r w:rsidR="00AD0CC4" w:rsidRPr="00664B7D">
              <w:rPr>
                <w:rFonts w:ascii="Arial" w:hAnsi="Arial" w:cs="Arial"/>
                <w:sz w:val="26"/>
                <w:szCs w:val="26"/>
              </w:rPr>
              <w:t xml:space="preserve"> przez całe życie</w:t>
            </w:r>
          </w:p>
          <w:p w14:paraId="2D724703" w14:textId="261C4A51" w:rsidR="004A6516" w:rsidRPr="00664B7D" w:rsidRDefault="004A6516" w:rsidP="00AD0CC4">
            <w:pPr>
              <w:spacing w:line="240" w:lineRule="auto"/>
              <w:rPr>
                <w:rFonts w:cs="Arial"/>
                <w:lang w:eastAsia="pl-PL"/>
              </w:rPr>
            </w:pPr>
            <w:r w:rsidRPr="00664B7D">
              <w:rPr>
                <w:rFonts w:cs="Arial"/>
                <w:b/>
                <w:sz w:val="26"/>
                <w:szCs w:val="26"/>
              </w:rPr>
              <w:t>Cel szczegółowy</w:t>
            </w:r>
            <w:r w:rsidR="00E4540E" w:rsidRPr="00664B7D">
              <w:rPr>
                <w:rFonts w:cs="Arial"/>
                <w:b/>
                <w:sz w:val="26"/>
                <w:szCs w:val="26"/>
              </w:rPr>
              <w:t xml:space="preserve"> </w:t>
            </w:r>
            <w:r w:rsidR="00AD0CC4" w:rsidRPr="00664B7D">
              <w:rPr>
                <w:rFonts w:cs="Arial"/>
                <w:b/>
                <w:sz w:val="26"/>
                <w:szCs w:val="26"/>
              </w:rPr>
              <w:t>g</w:t>
            </w:r>
            <w:r w:rsidR="00E4540E" w:rsidRPr="00664B7D">
              <w:rPr>
                <w:rFonts w:cs="Arial"/>
                <w:b/>
                <w:sz w:val="26"/>
                <w:szCs w:val="26"/>
              </w:rPr>
              <w:t>:</w:t>
            </w:r>
            <w:r w:rsidR="009C4FDC" w:rsidRPr="00664B7D">
              <w:rPr>
                <w:rFonts w:cs="Arial"/>
                <w:b/>
                <w:sz w:val="26"/>
                <w:szCs w:val="26"/>
              </w:rPr>
              <w:t xml:space="preserve"> </w:t>
            </w:r>
            <w:r w:rsidR="00AD0CC4" w:rsidRPr="00664B7D">
              <w:rPr>
                <w:rFonts w:cs="Arial"/>
                <w:bCs/>
                <w:sz w:val="26"/>
                <w:szCs w:val="26"/>
              </w:rPr>
              <w:t xml:space="preserve">Wspieranie uczenia się przez całe życie, </w:t>
            </w:r>
            <w:r w:rsidR="00AD0CC4" w:rsidRPr="00664B7D">
              <w:rPr>
                <w:rFonts w:cs="Arial"/>
                <w:bCs/>
                <w:sz w:val="26"/>
                <w:szCs w:val="26"/>
              </w:rPr>
              <w:br/>
              <w:t>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4A6516" w:rsidRPr="00664B7D" w14:paraId="36698390" w14:textId="77777777" w:rsidTr="00D2400C">
        <w:trPr>
          <w:trHeight w:val="247"/>
        </w:trPr>
        <w:tc>
          <w:tcPr>
            <w:tcW w:w="7706" w:type="dxa"/>
            <w:tcMar>
              <w:top w:w="216" w:type="dxa"/>
              <w:left w:w="115" w:type="dxa"/>
              <w:bottom w:w="216" w:type="dxa"/>
              <w:right w:w="115" w:type="dxa"/>
            </w:tcMar>
          </w:tcPr>
          <w:p w14:paraId="5AE91E14" w14:textId="77777777" w:rsidR="009A25D7" w:rsidRPr="00664B7D" w:rsidRDefault="009A25D7" w:rsidP="006E2F48">
            <w:pPr>
              <w:pStyle w:val="Nagwek"/>
              <w:tabs>
                <w:tab w:val="left" w:pos="180"/>
                <w:tab w:val="left" w:pos="360"/>
              </w:tabs>
              <w:spacing w:after="0"/>
              <w:jc w:val="center"/>
              <w:rPr>
                <w:rFonts w:ascii="Arial" w:hAnsi="Arial" w:cs="Arial"/>
                <w:b/>
                <w:color w:val="000000"/>
                <w:sz w:val="28"/>
                <w:szCs w:val="28"/>
              </w:rPr>
            </w:pPr>
          </w:p>
          <w:p w14:paraId="2F2A5F3E" w14:textId="1749DDEF" w:rsidR="006E2F48" w:rsidRPr="00664B7D" w:rsidRDefault="006E2F48" w:rsidP="006E2F48">
            <w:pPr>
              <w:pStyle w:val="Nagwek"/>
              <w:tabs>
                <w:tab w:val="left" w:pos="180"/>
                <w:tab w:val="left" w:pos="360"/>
              </w:tabs>
              <w:spacing w:after="0"/>
              <w:jc w:val="center"/>
              <w:rPr>
                <w:rFonts w:ascii="Arial" w:hAnsi="Arial" w:cs="Arial"/>
                <w:b/>
                <w:color w:val="000000"/>
                <w:sz w:val="28"/>
                <w:szCs w:val="28"/>
              </w:rPr>
            </w:pPr>
            <w:r w:rsidRPr="00664B7D">
              <w:rPr>
                <w:rFonts w:ascii="Arial" w:hAnsi="Arial" w:cs="Arial"/>
                <w:b/>
                <w:color w:val="000000"/>
                <w:sz w:val="28"/>
                <w:szCs w:val="28"/>
              </w:rPr>
              <w:t xml:space="preserve">Nabór nr </w:t>
            </w:r>
            <w:bookmarkStart w:id="0" w:name="_Hlk142380199"/>
            <w:r w:rsidRPr="00664B7D">
              <w:rPr>
                <w:rFonts w:ascii="Arial" w:hAnsi="Arial" w:cs="Arial"/>
                <w:b/>
                <w:color w:val="000000"/>
                <w:sz w:val="28"/>
                <w:szCs w:val="28"/>
              </w:rPr>
              <w:t>FEWM.06.05-IZ.00-003/23</w:t>
            </w:r>
            <w:bookmarkEnd w:id="0"/>
          </w:p>
          <w:p w14:paraId="563E7DB6" w14:textId="77777777" w:rsidR="004A6516" w:rsidRPr="00664B7D" w:rsidRDefault="004A6516" w:rsidP="005F1627">
            <w:pPr>
              <w:pStyle w:val="Bezodstpw"/>
              <w:rPr>
                <w:rFonts w:ascii="Arial" w:hAnsi="Arial" w:cs="Arial"/>
                <w:b/>
                <w:sz w:val="28"/>
                <w:szCs w:val="28"/>
              </w:rPr>
            </w:pPr>
          </w:p>
        </w:tc>
      </w:tr>
      <w:tr w:rsidR="004A6516" w:rsidRPr="00664B7D" w14:paraId="6CCB2E1B" w14:textId="77777777" w:rsidTr="00D2400C">
        <w:trPr>
          <w:trHeight w:val="247"/>
        </w:trPr>
        <w:tc>
          <w:tcPr>
            <w:tcW w:w="7706" w:type="dxa"/>
            <w:tcMar>
              <w:top w:w="216" w:type="dxa"/>
              <w:left w:w="115" w:type="dxa"/>
              <w:bottom w:w="216" w:type="dxa"/>
              <w:right w:w="115" w:type="dxa"/>
            </w:tcMar>
          </w:tcPr>
          <w:p w14:paraId="08E8F9FE" w14:textId="77777777" w:rsidR="004A6516" w:rsidRPr="00664B7D" w:rsidRDefault="004A6516" w:rsidP="00D2400C">
            <w:pPr>
              <w:pStyle w:val="Bezodstpw"/>
              <w:rPr>
                <w:rFonts w:ascii="Arial" w:hAnsi="Arial" w:cs="Arial"/>
                <w:b/>
                <w:sz w:val="28"/>
                <w:szCs w:val="28"/>
              </w:rPr>
            </w:pPr>
          </w:p>
        </w:tc>
      </w:tr>
      <w:tr w:rsidR="004A6516" w:rsidRPr="00664B7D" w14:paraId="367B1F27" w14:textId="77777777" w:rsidTr="00D2400C">
        <w:trPr>
          <w:trHeight w:val="247"/>
        </w:trPr>
        <w:tc>
          <w:tcPr>
            <w:tcW w:w="7706" w:type="dxa"/>
            <w:tcMar>
              <w:top w:w="216" w:type="dxa"/>
              <w:left w:w="115" w:type="dxa"/>
              <w:bottom w:w="216" w:type="dxa"/>
              <w:right w:w="115" w:type="dxa"/>
            </w:tcMar>
          </w:tcPr>
          <w:p w14:paraId="49B4C1C9" w14:textId="77777777" w:rsidR="004A6516" w:rsidRPr="00664B7D" w:rsidRDefault="004A6516" w:rsidP="00D2400C">
            <w:pPr>
              <w:pStyle w:val="Bezodstpw"/>
              <w:rPr>
                <w:rFonts w:ascii="Arial" w:hAnsi="Arial" w:cs="Arial"/>
                <w:b/>
                <w:sz w:val="28"/>
                <w:szCs w:val="28"/>
              </w:rPr>
            </w:pPr>
          </w:p>
        </w:tc>
      </w:tr>
      <w:tr w:rsidR="004A6516" w:rsidRPr="00664B7D" w14:paraId="00DB6D0E" w14:textId="77777777" w:rsidTr="00D2400C">
        <w:trPr>
          <w:trHeight w:val="4"/>
        </w:trPr>
        <w:tc>
          <w:tcPr>
            <w:tcW w:w="7706" w:type="dxa"/>
            <w:tcMar>
              <w:top w:w="216" w:type="dxa"/>
              <w:left w:w="115" w:type="dxa"/>
              <w:bottom w:w="216" w:type="dxa"/>
              <w:right w:w="115" w:type="dxa"/>
            </w:tcMar>
          </w:tcPr>
          <w:p w14:paraId="2C66DA8F" w14:textId="77777777" w:rsidR="004A6516" w:rsidRPr="00664B7D" w:rsidRDefault="004A6516" w:rsidP="00D2400C">
            <w:pPr>
              <w:pStyle w:val="Bezodstpw"/>
              <w:rPr>
                <w:rFonts w:ascii="Arial" w:hAnsi="Arial" w:cs="Arial"/>
                <w:b/>
                <w:sz w:val="28"/>
                <w:szCs w:val="28"/>
              </w:rPr>
            </w:pPr>
          </w:p>
        </w:tc>
      </w:tr>
    </w:tbl>
    <w:p w14:paraId="7CF36209" w14:textId="4EE09ECA" w:rsidR="004A6516" w:rsidRPr="00664B7D" w:rsidRDefault="004A6516" w:rsidP="001C3CAC">
      <w:pPr>
        <w:rPr>
          <w:rFonts w:cs="Arial"/>
        </w:rPr>
      </w:pPr>
      <w:r w:rsidRPr="00664B7D">
        <w:rPr>
          <w:rFonts w:cs="Arial"/>
        </w:rPr>
        <w:t xml:space="preserve"> </w:t>
      </w:r>
    </w:p>
    <w:p w14:paraId="2004FD11" w14:textId="77777777" w:rsidR="008B342E" w:rsidRPr="00664B7D" w:rsidRDefault="008B342E" w:rsidP="001C3CAC">
      <w:pPr>
        <w:rPr>
          <w:rFonts w:cs="Arial"/>
        </w:rPr>
      </w:pPr>
    </w:p>
    <w:p w14:paraId="7A6D35B0" w14:textId="77777777" w:rsidR="008B342E" w:rsidRPr="00664B7D" w:rsidRDefault="008B342E" w:rsidP="001C3CAC">
      <w:pPr>
        <w:rPr>
          <w:rFonts w:cs="Arial"/>
        </w:rPr>
      </w:pPr>
    </w:p>
    <w:p w14:paraId="4AB189D6" w14:textId="77777777" w:rsidR="008B342E" w:rsidRPr="00664B7D" w:rsidRDefault="008B342E" w:rsidP="001C3CAC">
      <w:pPr>
        <w:rPr>
          <w:rFonts w:cs="Arial"/>
        </w:rPr>
      </w:pPr>
    </w:p>
    <w:sdt>
      <w:sdtPr>
        <w:rPr>
          <w:rFonts w:cs="Arial"/>
        </w:rPr>
        <w:id w:val="-77140692"/>
        <w:docPartObj>
          <w:docPartGallery w:val="Cover Pages"/>
          <w:docPartUnique/>
        </w:docPartObj>
      </w:sdtPr>
      <w:sdtEndPr>
        <w:rPr>
          <w:b/>
          <w:sz w:val="28"/>
          <w:szCs w:val="28"/>
        </w:rPr>
      </w:sdtEndPr>
      <w:sdtContent>
        <w:p w14:paraId="1801BBF9" w14:textId="3346378E" w:rsidR="004A6516" w:rsidRPr="00664B7D" w:rsidRDefault="004A6516" w:rsidP="001C3CAC">
          <w:pPr>
            <w:rPr>
              <w:rFonts w:cs="Arial"/>
            </w:rPr>
          </w:pPr>
        </w:p>
        <w:p w14:paraId="2C614B6E" w14:textId="534824E7" w:rsidR="004A6516" w:rsidRPr="00664B7D" w:rsidRDefault="004A6516" w:rsidP="001C3CAC">
          <w:pPr>
            <w:rPr>
              <w:rFonts w:eastAsia="Calibri" w:cs="Arial"/>
              <w:b/>
              <w:sz w:val="28"/>
              <w:szCs w:val="28"/>
            </w:rPr>
          </w:pPr>
          <w:r w:rsidRPr="00664B7D">
            <w:rPr>
              <w:rFonts w:cs="Arial"/>
              <w:b/>
              <w:sz w:val="28"/>
              <w:szCs w:val="28"/>
            </w:rPr>
            <w:br w:type="page"/>
          </w:r>
        </w:p>
      </w:sdtContent>
    </w:sdt>
    <w:p w14:paraId="2B9794BA" w14:textId="77777777" w:rsidR="00AC1DF7" w:rsidRPr="00664B7D" w:rsidRDefault="00AC1DF7" w:rsidP="001C3CAC">
      <w:pPr>
        <w:pStyle w:val="Spistreci1"/>
        <w:tabs>
          <w:tab w:val="right" w:leader="dot" w:pos="9062"/>
        </w:tabs>
        <w:rPr>
          <w:rFonts w:cs="Arial"/>
          <w:b w:val="0"/>
          <w:sz w:val="24"/>
          <w:szCs w:val="24"/>
        </w:rPr>
      </w:pPr>
      <w:r w:rsidRPr="00664B7D">
        <w:rPr>
          <w:rFonts w:cs="Arial"/>
          <w:b w:val="0"/>
          <w:sz w:val="24"/>
          <w:szCs w:val="24"/>
        </w:rPr>
        <w:lastRenderedPageBreak/>
        <w:t>Spis treści:</w:t>
      </w:r>
    </w:p>
    <w:p w14:paraId="71316E45" w14:textId="77777777" w:rsidR="00B27CA9" w:rsidRPr="00664B7D" w:rsidRDefault="00B27CA9" w:rsidP="001C3CAC">
      <w:pPr>
        <w:pStyle w:val="Spistreci1"/>
        <w:tabs>
          <w:tab w:val="right" w:leader="dot" w:pos="9062"/>
        </w:tabs>
        <w:rPr>
          <w:rFonts w:cs="Arial"/>
          <w:b w:val="0"/>
          <w:sz w:val="24"/>
          <w:szCs w:val="24"/>
        </w:rPr>
      </w:pPr>
    </w:p>
    <w:p w14:paraId="24AE65E6" w14:textId="1980859D" w:rsidR="00CB4953" w:rsidRDefault="00165326">
      <w:pPr>
        <w:pStyle w:val="Spistreci1"/>
        <w:tabs>
          <w:tab w:val="right" w:leader="dot" w:pos="9062"/>
        </w:tabs>
        <w:rPr>
          <w:rFonts w:asciiTheme="minorHAnsi" w:eastAsiaTheme="minorEastAsia" w:hAnsiTheme="minorHAnsi"/>
          <w:b w:val="0"/>
          <w:noProof/>
          <w:lang w:eastAsia="pl-PL"/>
        </w:rPr>
      </w:pPr>
      <w:r w:rsidRPr="00664B7D">
        <w:rPr>
          <w:rFonts w:cs="Arial"/>
          <w:b w:val="0"/>
          <w:sz w:val="24"/>
          <w:szCs w:val="24"/>
        </w:rPr>
        <w:fldChar w:fldCharType="begin"/>
      </w:r>
      <w:r w:rsidR="00CE2BB0" w:rsidRPr="00664B7D">
        <w:rPr>
          <w:rFonts w:cs="Arial"/>
          <w:b w:val="0"/>
          <w:sz w:val="24"/>
          <w:szCs w:val="24"/>
        </w:rPr>
        <w:instrText xml:space="preserve"> TOC \h \z \t "Rozdział-K;1;Podrozdział-K;2" </w:instrText>
      </w:r>
      <w:r w:rsidRPr="00664B7D">
        <w:rPr>
          <w:rFonts w:cs="Arial"/>
          <w:b w:val="0"/>
          <w:sz w:val="24"/>
          <w:szCs w:val="24"/>
        </w:rPr>
        <w:fldChar w:fldCharType="separate"/>
      </w:r>
      <w:hyperlink w:anchor="_Toc145936705" w:history="1">
        <w:r w:rsidR="00CB4953" w:rsidRPr="00677CD2">
          <w:rPr>
            <w:rStyle w:val="Hipercze"/>
            <w:noProof/>
          </w:rPr>
          <w:t>Słownik skrótów i pojęć</w:t>
        </w:r>
        <w:r w:rsidR="00CB4953">
          <w:rPr>
            <w:noProof/>
            <w:webHidden/>
          </w:rPr>
          <w:tab/>
        </w:r>
        <w:r w:rsidR="00CB4953">
          <w:rPr>
            <w:noProof/>
            <w:webHidden/>
          </w:rPr>
          <w:fldChar w:fldCharType="begin"/>
        </w:r>
        <w:r w:rsidR="00CB4953">
          <w:rPr>
            <w:noProof/>
            <w:webHidden/>
          </w:rPr>
          <w:instrText xml:space="preserve"> PAGEREF _Toc145936705 \h </w:instrText>
        </w:r>
        <w:r w:rsidR="00CB4953">
          <w:rPr>
            <w:noProof/>
            <w:webHidden/>
          </w:rPr>
        </w:r>
        <w:r w:rsidR="00CB4953">
          <w:rPr>
            <w:noProof/>
            <w:webHidden/>
          </w:rPr>
          <w:fldChar w:fldCharType="separate"/>
        </w:r>
        <w:r w:rsidR="00FB00FC">
          <w:rPr>
            <w:noProof/>
            <w:webHidden/>
          </w:rPr>
          <w:t>4</w:t>
        </w:r>
        <w:r w:rsidR="00CB4953">
          <w:rPr>
            <w:noProof/>
            <w:webHidden/>
          </w:rPr>
          <w:fldChar w:fldCharType="end"/>
        </w:r>
      </w:hyperlink>
    </w:p>
    <w:p w14:paraId="5187F668" w14:textId="5225FC55" w:rsidR="00CB4953" w:rsidRDefault="003B4896">
      <w:pPr>
        <w:pStyle w:val="Spistreci1"/>
        <w:tabs>
          <w:tab w:val="left" w:pos="440"/>
          <w:tab w:val="right" w:leader="dot" w:pos="9062"/>
        </w:tabs>
        <w:rPr>
          <w:rFonts w:asciiTheme="minorHAnsi" w:eastAsiaTheme="minorEastAsia" w:hAnsiTheme="minorHAnsi"/>
          <w:b w:val="0"/>
          <w:noProof/>
          <w:lang w:eastAsia="pl-PL"/>
        </w:rPr>
      </w:pPr>
      <w:hyperlink w:anchor="_Toc145936706" w:history="1">
        <w:r w:rsidR="00CB4953" w:rsidRPr="00677CD2">
          <w:rPr>
            <w:rStyle w:val="Hipercze"/>
            <w:noProof/>
          </w:rPr>
          <w:t>1.</w:t>
        </w:r>
        <w:r w:rsidR="00CB4953">
          <w:rPr>
            <w:rFonts w:asciiTheme="minorHAnsi" w:eastAsiaTheme="minorEastAsia" w:hAnsiTheme="minorHAnsi"/>
            <w:b w:val="0"/>
            <w:noProof/>
            <w:lang w:eastAsia="pl-PL"/>
          </w:rPr>
          <w:tab/>
        </w:r>
        <w:r w:rsidR="00CB4953" w:rsidRPr="00677CD2">
          <w:rPr>
            <w:rStyle w:val="Hipercze"/>
            <w:noProof/>
          </w:rPr>
          <w:t>Informacje ogólne</w:t>
        </w:r>
        <w:r w:rsidR="00CB4953">
          <w:rPr>
            <w:noProof/>
            <w:webHidden/>
          </w:rPr>
          <w:tab/>
        </w:r>
        <w:r w:rsidR="00CB4953">
          <w:rPr>
            <w:noProof/>
            <w:webHidden/>
          </w:rPr>
          <w:fldChar w:fldCharType="begin"/>
        </w:r>
        <w:r w:rsidR="00CB4953">
          <w:rPr>
            <w:noProof/>
            <w:webHidden/>
          </w:rPr>
          <w:instrText xml:space="preserve"> PAGEREF _Toc145936706 \h </w:instrText>
        </w:r>
        <w:r w:rsidR="00CB4953">
          <w:rPr>
            <w:noProof/>
            <w:webHidden/>
          </w:rPr>
        </w:r>
        <w:r w:rsidR="00CB4953">
          <w:rPr>
            <w:noProof/>
            <w:webHidden/>
          </w:rPr>
          <w:fldChar w:fldCharType="separate"/>
        </w:r>
        <w:r w:rsidR="00FB00FC">
          <w:rPr>
            <w:noProof/>
            <w:webHidden/>
          </w:rPr>
          <w:t>6</w:t>
        </w:r>
        <w:r w:rsidR="00CB4953">
          <w:rPr>
            <w:noProof/>
            <w:webHidden/>
          </w:rPr>
          <w:fldChar w:fldCharType="end"/>
        </w:r>
      </w:hyperlink>
    </w:p>
    <w:p w14:paraId="6804C30E" w14:textId="102FAC07" w:rsidR="00CB4953" w:rsidRDefault="003B4896">
      <w:pPr>
        <w:pStyle w:val="Spistreci2"/>
        <w:rPr>
          <w:rFonts w:asciiTheme="minorHAnsi" w:eastAsiaTheme="minorEastAsia" w:hAnsiTheme="minorHAnsi"/>
          <w:noProof/>
          <w:lang w:eastAsia="pl-PL"/>
        </w:rPr>
      </w:pPr>
      <w:hyperlink w:anchor="_Toc145936707" w:history="1">
        <w:r w:rsidR="00CB4953" w:rsidRPr="00677CD2">
          <w:rPr>
            <w:rStyle w:val="Hipercze"/>
            <w:noProof/>
          </w:rPr>
          <w:t>1.1.</w:t>
        </w:r>
        <w:r w:rsidR="00CB4953">
          <w:rPr>
            <w:rFonts w:asciiTheme="minorHAnsi" w:eastAsiaTheme="minorEastAsia" w:hAnsiTheme="minorHAnsi"/>
            <w:noProof/>
            <w:lang w:eastAsia="pl-PL"/>
          </w:rPr>
          <w:tab/>
        </w:r>
        <w:r w:rsidR="00CB4953" w:rsidRPr="00677CD2">
          <w:rPr>
            <w:rStyle w:val="Hipercze"/>
            <w:noProof/>
          </w:rPr>
          <w:t>Regulamin wyboru projektów</w:t>
        </w:r>
        <w:r w:rsidR="00CB4953">
          <w:rPr>
            <w:noProof/>
            <w:webHidden/>
          </w:rPr>
          <w:tab/>
        </w:r>
        <w:r w:rsidR="00CB4953">
          <w:rPr>
            <w:noProof/>
            <w:webHidden/>
          </w:rPr>
          <w:fldChar w:fldCharType="begin"/>
        </w:r>
        <w:r w:rsidR="00CB4953">
          <w:rPr>
            <w:noProof/>
            <w:webHidden/>
          </w:rPr>
          <w:instrText xml:space="preserve"> PAGEREF _Toc145936707 \h </w:instrText>
        </w:r>
        <w:r w:rsidR="00CB4953">
          <w:rPr>
            <w:noProof/>
            <w:webHidden/>
          </w:rPr>
        </w:r>
        <w:r w:rsidR="00CB4953">
          <w:rPr>
            <w:noProof/>
            <w:webHidden/>
          </w:rPr>
          <w:fldChar w:fldCharType="separate"/>
        </w:r>
        <w:r w:rsidR="00FB00FC">
          <w:rPr>
            <w:noProof/>
            <w:webHidden/>
          </w:rPr>
          <w:t>6</w:t>
        </w:r>
        <w:r w:rsidR="00CB4953">
          <w:rPr>
            <w:noProof/>
            <w:webHidden/>
          </w:rPr>
          <w:fldChar w:fldCharType="end"/>
        </w:r>
      </w:hyperlink>
    </w:p>
    <w:p w14:paraId="19BBD0AC" w14:textId="67EAE833" w:rsidR="00CB4953" w:rsidRDefault="003B4896">
      <w:pPr>
        <w:pStyle w:val="Spistreci2"/>
        <w:rPr>
          <w:rFonts w:asciiTheme="minorHAnsi" w:eastAsiaTheme="minorEastAsia" w:hAnsiTheme="minorHAnsi"/>
          <w:noProof/>
          <w:lang w:eastAsia="pl-PL"/>
        </w:rPr>
      </w:pPr>
      <w:hyperlink w:anchor="_Toc145936708" w:history="1">
        <w:r w:rsidR="00CB4953" w:rsidRPr="00677CD2">
          <w:rPr>
            <w:rStyle w:val="Hipercze"/>
            <w:noProof/>
          </w:rPr>
          <w:t>1.2.</w:t>
        </w:r>
        <w:r w:rsidR="00CB4953">
          <w:rPr>
            <w:rFonts w:asciiTheme="minorHAnsi" w:eastAsiaTheme="minorEastAsia" w:hAnsiTheme="minorHAnsi"/>
            <w:noProof/>
            <w:lang w:eastAsia="pl-PL"/>
          </w:rPr>
          <w:tab/>
        </w:r>
        <w:r w:rsidR="00CB4953" w:rsidRPr="00677CD2">
          <w:rPr>
            <w:rStyle w:val="Hipercze"/>
            <w:noProof/>
          </w:rPr>
          <w:t>Podstawa prawna i dokumenty programowe</w:t>
        </w:r>
        <w:r w:rsidR="00CB4953">
          <w:rPr>
            <w:noProof/>
            <w:webHidden/>
          </w:rPr>
          <w:tab/>
        </w:r>
        <w:r w:rsidR="00CB4953">
          <w:rPr>
            <w:noProof/>
            <w:webHidden/>
          </w:rPr>
          <w:fldChar w:fldCharType="begin"/>
        </w:r>
        <w:r w:rsidR="00CB4953">
          <w:rPr>
            <w:noProof/>
            <w:webHidden/>
          </w:rPr>
          <w:instrText xml:space="preserve"> PAGEREF _Toc145936708 \h </w:instrText>
        </w:r>
        <w:r w:rsidR="00CB4953">
          <w:rPr>
            <w:noProof/>
            <w:webHidden/>
          </w:rPr>
        </w:r>
        <w:r w:rsidR="00CB4953">
          <w:rPr>
            <w:noProof/>
            <w:webHidden/>
          </w:rPr>
          <w:fldChar w:fldCharType="separate"/>
        </w:r>
        <w:r w:rsidR="00FB00FC">
          <w:rPr>
            <w:noProof/>
            <w:webHidden/>
          </w:rPr>
          <w:t>6</w:t>
        </w:r>
        <w:r w:rsidR="00CB4953">
          <w:rPr>
            <w:noProof/>
            <w:webHidden/>
          </w:rPr>
          <w:fldChar w:fldCharType="end"/>
        </w:r>
      </w:hyperlink>
    </w:p>
    <w:p w14:paraId="55410F21" w14:textId="3259B999" w:rsidR="00CB4953" w:rsidRDefault="003B4896">
      <w:pPr>
        <w:pStyle w:val="Spistreci2"/>
        <w:rPr>
          <w:rFonts w:asciiTheme="minorHAnsi" w:eastAsiaTheme="minorEastAsia" w:hAnsiTheme="minorHAnsi"/>
          <w:noProof/>
          <w:lang w:eastAsia="pl-PL"/>
        </w:rPr>
      </w:pPr>
      <w:hyperlink w:anchor="_Toc145936709" w:history="1">
        <w:r w:rsidR="00CB4953" w:rsidRPr="00677CD2">
          <w:rPr>
            <w:rStyle w:val="Hipercze"/>
            <w:noProof/>
          </w:rPr>
          <w:t>1.3.</w:t>
        </w:r>
        <w:r w:rsidR="00CB4953">
          <w:rPr>
            <w:rFonts w:asciiTheme="minorHAnsi" w:eastAsiaTheme="minorEastAsia" w:hAnsiTheme="minorHAnsi"/>
            <w:noProof/>
            <w:lang w:eastAsia="pl-PL"/>
          </w:rPr>
          <w:tab/>
        </w:r>
        <w:r w:rsidR="00CB4953" w:rsidRPr="00677CD2">
          <w:rPr>
            <w:rStyle w:val="Hipercze"/>
            <w:noProof/>
          </w:rPr>
          <w:t>Cel i przedmiot naboru</w:t>
        </w:r>
        <w:r w:rsidR="00CB4953">
          <w:rPr>
            <w:noProof/>
            <w:webHidden/>
          </w:rPr>
          <w:tab/>
        </w:r>
        <w:r w:rsidR="00CB4953">
          <w:rPr>
            <w:noProof/>
            <w:webHidden/>
          </w:rPr>
          <w:fldChar w:fldCharType="begin"/>
        </w:r>
        <w:r w:rsidR="00CB4953">
          <w:rPr>
            <w:noProof/>
            <w:webHidden/>
          </w:rPr>
          <w:instrText xml:space="preserve"> PAGEREF _Toc145936709 \h </w:instrText>
        </w:r>
        <w:r w:rsidR="00CB4953">
          <w:rPr>
            <w:noProof/>
            <w:webHidden/>
          </w:rPr>
        </w:r>
        <w:r w:rsidR="00CB4953">
          <w:rPr>
            <w:noProof/>
            <w:webHidden/>
          </w:rPr>
          <w:fldChar w:fldCharType="separate"/>
        </w:r>
        <w:r w:rsidR="00FB00FC">
          <w:rPr>
            <w:noProof/>
            <w:webHidden/>
          </w:rPr>
          <w:t>10</w:t>
        </w:r>
        <w:r w:rsidR="00CB4953">
          <w:rPr>
            <w:noProof/>
            <w:webHidden/>
          </w:rPr>
          <w:fldChar w:fldCharType="end"/>
        </w:r>
      </w:hyperlink>
    </w:p>
    <w:p w14:paraId="3BEE4B1E" w14:textId="02B82725" w:rsidR="00CB4953" w:rsidRDefault="003B4896">
      <w:pPr>
        <w:pStyle w:val="Spistreci2"/>
        <w:rPr>
          <w:rFonts w:asciiTheme="minorHAnsi" w:eastAsiaTheme="minorEastAsia" w:hAnsiTheme="minorHAnsi"/>
          <w:noProof/>
          <w:lang w:eastAsia="pl-PL"/>
        </w:rPr>
      </w:pPr>
      <w:hyperlink w:anchor="_Toc145936710" w:history="1">
        <w:r w:rsidR="00CB4953" w:rsidRPr="00677CD2">
          <w:rPr>
            <w:rStyle w:val="Hipercze"/>
            <w:noProof/>
          </w:rPr>
          <w:t>1.4.</w:t>
        </w:r>
        <w:r w:rsidR="00CB4953">
          <w:rPr>
            <w:rFonts w:asciiTheme="minorHAnsi" w:eastAsiaTheme="minorEastAsia" w:hAnsiTheme="minorHAnsi"/>
            <w:noProof/>
            <w:lang w:eastAsia="pl-PL"/>
          </w:rPr>
          <w:tab/>
        </w:r>
        <w:r w:rsidR="00CB4953" w:rsidRPr="00677CD2">
          <w:rPr>
            <w:rStyle w:val="Hipercze"/>
            <w:noProof/>
          </w:rPr>
          <w:t>Kwota przeznaczona na nabór i podstawowe zasady udzielania dofinansowania</w:t>
        </w:r>
        <w:r w:rsidR="00CB4953">
          <w:rPr>
            <w:rStyle w:val="Hipercze"/>
            <w:noProof/>
          </w:rPr>
          <w:tab/>
        </w:r>
        <w:r w:rsidR="00CB4953">
          <w:rPr>
            <w:rStyle w:val="Hipercze"/>
            <w:noProof/>
          </w:rPr>
          <w:tab/>
        </w:r>
        <w:r w:rsidR="00CB4953">
          <w:rPr>
            <w:noProof/>
            <w:webHidden/>
          </w:rPr>
          <w:tab/>
        </w:r>
        <w:r w:rsidR="00CB4953">
          <w:rPr>
            <w:noProof/>
            <w:webHidden/>
          </w:rPr>
          <w:fldChar w:fldCharType="begin"/>
        </w:r>
        <w:r w:rsidR="00CB4953">
          <w:rPr>
            <w:noProof/>
            <w:webHidden/>
          </w:rPr>
          <w:instrText xml:space="preserve"> PAGEREF _Toc145936710 \h </w:instrText>
        </w:r>
        <w:r w:rsidR="00CB4953">
          <w:rPr>
            <w:noProof/>
            <w:webHidden/>
          </w:rPr>
        </w:r>
        <w:r w:rsidR="00CB4953">
          <w:rPr>
            <w:noProof/>
            <w:webHidden/>
          </w:rPr>
          <w:fldChar w:fldCharType="separate"/>
        </w:r>
        <w:r w:rsidR="00FB00FC">
          <w:rPr>
            <w:noProof/>
            <w:webHidden/>
          </w:rPr>
          <w:t>11</w:t>
        </w:r>
        <w:r w:rsidR="00CB4953">
          <w:rPr>
            <w:noProof/>
            <w:webHidden/>
          </w:rPr>
          <w:fldChar w:fldCharType="end"/>
        </w:r>
      </w:hyperlink>
    </w:p>
    <w:p w14:paraId="3FC4877A" w14:textId="1135B2D8" w:rsidR="00CB4953" w:rsidRDefault="003B4896">
      <w:pPr>
        <w:pStyle w:val="Spistreci2"/>
        <w:rPr>
          <w:rFonts w:asciiTheme="minorHAnsi" w:eastAsiaTheme="minorEastAsia" w:hAnsiTheme="minorHAnsi"/>
          <w:noProof/>
          <w:lang w:eastAsia="pl-PL"/>
        </w:rPr>
      </w:pPr>
      <w:hyperlink w:anchor="_Toc145936711" w:history="1">
        <w:r w:rsidR="00CB4953" w:rsidRPr="00677CD2">
          <w:rPr>
            <w:rStyle w:val="Hipercze"/>
            <w:noProof/>
          </w:rPr>
          <w:t>1.5.</w:t>
        </w:r>
        <w:r w:rsidR="00CB4953">
          <w:rPr>
            <w:rFonts w:asciiTheme="minorHAnsi" w:eastAsiaTheme="minorEastAsia" w:hAnsiTheme="minorHAnsi"/>
            <w:noProof/>
            <w:lang w:eastAsia="pl-PL"/>
          </w:rPr>
          <w:tab/>
        </w:r>
        <w:r w:rsidR="00CB4953" w:rsidRPr="00677CD2">
          <w:rPr>
            <w:rStyle w:val="Hipercze"/>
            <w:noProof/>
          </w:rPr>
          <w:t>Udzielanie informacji i sposób komunikacji między Wnioskodawcą  a ION</w:t>
        </w:r>
        <w:r w:rsidR="00CB4953">
          <w:rPr>
            <w:noProof/>
            <w:webHidden/>
          </w:rPr>
          <w:tab/>
        </w:r>
        <w:r w:rsidR="00CB4953">
          <w:rPr>
            <w:noProof/>
            <w:webHidden/>
          </w:rPr>
          <w:fldChar w:fldCharType="begin"/>
        </w:r>
        <w:r w:rsidR="00CB4953">
          <w:rPr>
            <w:noProof/>
            <w:webHidden/>
          </w:rPr>
          <w:instrText xml:space="preserve"> PAGEREF _Toc145936711 \h </w:instrText>
        </w:r>
        <w:r w:rsidR="00CB4953">
          <w:rPr>
            <w:noProof/>
            <w:webHidden/>
          </w:rPr>
        </w:r>
        <w:r w:rsidR="00CB4953">
          <w:rPr>
            <w:noProof/>
            <w:webHidden/>
          </w:rPr>
          <w:fldChar w:fldCharType="separate"/>
        </w:r>
        <w:r w:rsidR="00FB00FC">
          <w:rPr>
            <w:noProof/>
            <w:webHidden/>
          </w:rPr>
          <w:t>12</w:t>
        </w:r>
        <w:r w:rsidR="00CB4953">
          <w:rPr>
            <w:noProof/>
            <w:webHidden/>
          </w:rPr>
          <w:fldChar w:fldCharType="end"/>
        </w:r>
      </w:hyperlink>
    </w:p>
    <w:p w14:paraId="718E3B65" w14:textId="43D215C8" w:rsidR="00CB4953" w:rsidRDefault="003B4896">
      <w:pPr>
        <w:pStyle w:val="Spistreci1"/>
        <w:tabs>
          <w:tab w:val="left" w:pos="440"/>
          <w:tab w:val="right" w:leader="dot" w:pos="9062"/>
        </w:tabs>
        <w:rPr>
          <w:rFonts w:asciiTheme="minorHAnsi" w:eastAsiaTheme="minorEastAsia" w:hAnsiTheme="minorHAnsi"/>
          <w:b w:val="0"/>
          <w:noProof/>
          <w:lang w:eastAsia="pl-PL"/>
        </w:rPr>
      </w:pPr>
      <w:hyperlink w:anchor="_Toc145936712" w:history="1">
        <w:r w:rsidR="00CB4953" w:rsidRPr="00677CD2">
          <w:rPr>
            <w:rStyle w:val="Hipercze"/>
            <w:noProof/>
          </w:rPr>
          <w:t>2.</w:t>
        </w:r>
        <w:r w:rsidR="00CB4953">
          <w:rPr>
            <w:rFonts w:asciiTheme="minorHAnsi" w:eastAsiaTheme="minorEastAsia" w:hAnsiTheme="minorHAnsi"/>
            <w:b w:val="0"/>
            <w:noProof/>
            <w:lang w:eastAsia="pl-PL"/>
          </w:rPr>
          <w:tab/>
        </w:r>
        <w:r w:rsidR="00CB4953" w:rsidRPr="00677CD2">
          <w:rPr>
            <w:rStyle w:val="Hipercze"/>
            <w:noProof/>
          </w:rPr>
          <w:t>Składanie wniosku o dofinansowanie projektu</w:t>
        </w:r>
        <w:r w:rsidR="00CB4953">
          <w:rPr>
            <w:noProof/>
            <w:webHidden/>
          </w:rPr>
          <w:tab/>
        </w:r>
        <w:r w:rsidR="00CB4953">
          <w:rPr>
            <w:noProof/>
            <w:webHidden/>
          </w:rPr>
          <w:fldChar w:fldCharType="begin"/>
        </w:r>
        <w:r w:rsidR="00CB4953">
          <w:rPr>
            <w:noProof/>
            <w:webHidden/>
          </w:rPr>
          <w:instrText xml:space="preserve"> PAGEREF _Toc145936712 \h </w:instrText>
        </w:r>
        <w:r w:rsidR="00CB4953">
          <w:rPr>
            <w:noProof/>
            <w:webHidden/>
          </w:rPr>
        </w:r>
        <w:r w:rsidR="00CB4953">
          <w:rPr>
            <w:noProof/>
            <w:webHidden/>
          </w:rPr>
          <w:fldChar w:fldCharType="separate"/>
        </w:r>
        <w:r w:rsidR="00FB00FC">
          <w:rPr>
            <w:noProof/>
            <w:webHidden/>
          </w:rPr>
          <w:t>13</w:t>
        </w:r>
        <w:r w:rsidR="00CB4953">
          <w:rPr>
            <w:noProof/>
            <w:webHidden/>
          </w:rPr>
          <w:fldChar w:fldCharType="end"/>
        </w:r>
      </w:hyperlink>
    </w:p>
    <w:p w14:paraId="788976FE" w14:textId="3B46D700" w:rsidR="00CB4953" w:rsidRDefault="003B4896">
      <w:pPr>
        <w:pStyle w:val="Spistreci2"/>
        <w:rPr>
          <w:rFonts w:asciiTheme="minorHAnsi" w:eastAsiaTheme="minorEastAsia" w:hAnsiTheme="minorHAnsi"/>
          <w:noProof/>
          <w:lang w:eastAsia="pl-PL"/>
        </w:rPr>
      </w:pPr>
      <w:hyperlink w:anchor="_Toc145936713" w:history="1">
        <w:r w:rsidR="00CB4953" w:rsidRPr="00677CD2">
          <w:rPr>
            <w:rStyle w:val="Hipercze"/>
            <w:noProof/>
          </w:rPr>
          <w:t>2.1.</w:t>
        </w:r>
        <w:r w:rsidR="00CB4953">
          <w:rPr>
            <w:rFonts w:asciiTheme="minorHAnsi" w:eastAsiaTheme="minorEastAsia" w:hAnsiTheme="minorHAnsi"/>
            <w:noProof/>
            <w:lang w:eastAsia="pl-PL"/>
          </w:rPr>
          <w:tab/>
        </w:r>
        <w:r w:rsidR="00CB4953" w:rsidRPr="00677CD2">
          <w:rPr>
            <w:rStyle w:val="Hipercze"/>
            <w:noProof/>
          </w:rPr>
          <w:t>Formularz wniosku o dofinansowanie</w:t>
        </w:r>
        <w:r w:rsidR="00CB4953">
          <w:rPr>
            <w:noProof/>
            <w:webHidden/>
          </w:rPr>
          <w:tab/>
        </w:r>
        <w:r w:rsidR="00CB4953">
          <w:rPr>
            <w:noProof/>
            <w:webHidden/>
          </w:rPr>
          <w:fldChar w:fldCharType="begin"/>
        </w:r>
        <w:r w:rsidR="00CB4953">
          <w:rPr>
            <w:noProof/>
            <w:webHidden/>
          </w:rPr>
          <w:instrText xml:space="preserve"> PAGEREF _Toc145936713 \h </w:instrText>
        </w:r>
        <w:r w:rsidR="00CB4953">
          <w:rPr>
            <w:noProof/>
            <w:webHidden/>
          </w:rPr>
        </w:r>
        <w:r w:rsidR="00CB4953">
          <w:rPr>
            <w:noProof/>
            <w:webHidden/>
          </w:rPr>
          <w:fldChar w:fldCharType="separate"/>
        </w:r>
        <w:r w:rsidR="00FB00FC">
          <w:rPr>
            <w:noProof/>
            <w:webHidden/>
          </w:rPr>
          <w:t>13</w:t>
        </w:r>
        <w:r w:rsidR="00CB4953">
          <w:rPr>
            <w:noProof/>
            <w:webHidden/>
          </w:rPr>
          <w:fldChar w:fldCharType="end"/>
        </w:r>
      </w:hyperlink>
    </w:p>
    <w:p w14:paraId="4CA6DE4A" w14:textId="7BD3D9A9" w:rsidR="00CB4953" w:rsidRDefault="003B4896">
      <w:pPr>
        <w:pStyle w:val="Spistreci2"/>
        <w:rPr>
          <w:rFonts w:asciiTheme="minorHAnsi" w:eastAsiaTheme="minorEastAsia" w:hAnsiTheme="minorHAnsi"/>
          <w:noProof/>
          <w:lang w:eastAsia="pl-PL"/>
        </w:rPr>
      </w:pPr>
      <w:hyperlink w:anchor="_Toc145936714" w:history="1">
        <w:r w:rsidR="00CB4953" w:rsidRPr="00677CD2">
          <w:rPr>
            <w:rStyle w:val="Hipercze"/>
            <w:noProof/>
          </w:rPr>
          <w:t>2.2.</w:t>
        </w:r>
        <w:r w:rsidR="00CB4953">
          <w:rPr>
            <w:rFonts w:asciiTheme="minorHAnsi" w:eastAsiaTheme="minorEastAsia" w:hAnsiTheme="minorHAnsi"/>
            <w:noProof/>
            <w:lang w:eastAsia="pl-PL"/>
          </w:rPr>
          <w:tab/>
        </w:r>
        <w:r w:rsidR="00CB4953" w:rsidRPr="00677CD2">
          <w:rPr>
            <w:rStyle w:val="Hipercze"/>
            <w:noProof/>
          </w:rPr>
          <w:t>Termin i forma składania wniosku o dofinansowanie</w:t>
        </w:r>
        <w:r w:rsidR="00CB4953">
          <w:rPr>
            <w:noProof/>
            <w:webHidden/>
          </w:rPr>
          <w:tab/>
        </w:r>
        <w:r w:rsidR="00CB4953">
          <w:rPr>
            <w:noProof/>
            <w:webHidden/>
          </w:rPr>
          <w:fldChar w:fldCharType="begin"/>
        </w:r>
        <w:r w:rsidR="00CB4953">
          <w:rPr>
            <w:noProof/>
            <w:webHidden/>
          </w:rPr>
          <w:instrText xml:space="preserve"> PAGEREF _Toc145936714 \h </w:instrText>
        </w:r>
        <w:r w:rsidR="00CB4953">
          <w:rPr>
            <w:noProof/>
            <w:webHidden/>
          </w:rPr>
        </w:r>
        <w:r w:rsidR="00CB4953">
          <w:rPr>
            <w:noProof/>
            <w:webHidden/>
          </w:rPr>
          <w:fldChar w:fldCharType="separate"/>
        </w:r>
        <w:r w:rsidR="00FB00FC">
          <w:rPr>
            <w:noProof/>
            <w:webHidden/>
          </w:rPr>
          <w:t>14</w:t>
        </w:r>
        <w:r w:rsidR="00CB4953">
          <w:rPr>
            <w:noProof/>
            <w:webHidden/>
          </w:rPr>
          <w:fldChar w:fldCharType="end"/>
        </w:r>
      </w:hyperlink>
    </w:p>
    <w:p w14:paraId="38AAAC01" w14:textId="4C4195BC" w:rsidR="00CB4953" w:rsidRDefault="003B4896">
      <w:pPr>
        <w:pStyle w:val="Spistreci2"/>
        <w:rPr>
          <w:rFonts w:asciiTheme="minorHAnsi" w:eastAsiaTheme="minorEastAsia" w:hAnsiTheme="minorHAnsi"/>
          <w:noProof/>
          <w:lang w:eastAsia="pl-PL"/>
        </w:rPr>
      </w:pPr>
      <w:hyperlink w:anchor="_Toc145936715" w:history="1">
        <w:r w:rsidR="00CB4953" w:rsidRPr="00677CD2">
          <w:rPr>
            <w:rStyle w:val="Hipercze"/>
            <w:noProof/>
          </w:rPr>
          <w:t>2.3.</w:t>
        </w:r>
        <w:r w:rsidR="00CB4953">
          <w:rPr>
            <w:rFonts w:asciiTheme="minorHAnsi" w:eastAsiaTheme="minorEastAsia" w:hAnsiTheme="minorHAnsi"/>
            <w:noProof/>
            <w:lang w:eastAsia="pl-PL"/>
          </w:rPr>
          <w:tab/>
        </w:r>
        <w:r w:rsidR="00CB4953" w:rsidRPr="00677CD2">
          <w:rPr>
            <w:rStyle w:val="Hipercze"/>
            <w:noProof/>
          </w:rPr>
          <w:t>Wycofanie wniosku</w:t>
        </w:r>
        <w:r w:rsidR="00CB4953">
          <w:rPr>
            <w:noProof/>
            <w:webHidden/>
          </w:rPr>
          <w:tab/>
        </w:r>
        <w:r w:rsidR="00CB4953">
          <w:rPr>
            <w:noProof/>
            <w:webHidden/>
          </w:rPr>
          <w:fldChar w:fldCharType="begin"/>
        </w:r>
        <w:r w:rsidR="00CB4953">
          <w:rPr>
            <w:noProof/>
            <w:webHidden/>
          </w:rPr>
          <w:instrText xml:space="preserve"> PAGEREF _Toc145936715 \h </w:instrText>
        </w:r>
        <w:r w:rsidR="00CB4953">
          <w:rPr>
            <w:noProof/>
            <w:webHidden/>
          </w:rPr>
        </w:r>
        <w:r w:rsidR="00CB4953">
          <w:rPr>
            <w:noProof/>
            <w:webHidden/>
          </w:rPr>
          <w:fldChar w:fldCharType="separate"/>
        </w:r>
        <w:r w:rsidR="00FB00FC">
          <w:rPr>
            <w:noProof/>
            <w:webHidden/>
          </w:rPr>
          <w:t>15</w:t>
        </w:r>
        <w:r w:rsidR="00CB4953">
          <w:rPr>
            <w:noProof/>
            <w:webHidden/>
          </w:rPr>
          <w:fldChar w:fldCharType="end"/>
        </w:r>
      </w:hyperlink>
    </w:p>
    <w:p w14:paraId="06956427" w14:textId="08D504B6" w:rsidR="00CB4953" w:rsidRDefault="003B4896">
      <w:pPr>
        <w:pStyle w:val="Spistreci1"/>
        <w:tabs>
          <w:tab w:val="left" w:pos="440"/>
          <w:tab w:val="right" w:leader="dot" w:pos="9062"/>
        </w:tabs>
        <w:rPr>
          <w:rFonts w:asciiTheme="minorHAnsi" w:eastAsiaTheme="minorEastAsia" w:hAnsiTheme="minorHAnsi"/>
          <w:b w:val="0"/>
          <w:noProof/>
          <w:lang w:eastAsia="pl-PL"/>
        </w:rPr>
      </w:pPr>
      <w:hyperlink w:anchor="_Toc145936716" w:history="1">
        <w:r w:rsidR="00CB4953" w:rsidRPr="00677CD2">
          <w:rPr>
            <w:rStyle w:val="Hipercze"/>
            <w:noProof/>
          </w:rPr>
          <w:t>3.</w:t>
        </w:r>
        <w:r w:rsidR="00CB4953">
          <w:rPr>
            <w:rFonts w:asciiTheme="minorHAnsi" w:eastAsiaTheme="minorEastAsia" w:hAnsiTheme="minorHAnsi"/>
            <w:b w:val="0"/>
            <w:noProof/>
            <w:lang w:eastAsia="pl-PL"/>
          </w:rPr>
          <w:tab/>
        </w:r>
        <w:r w:rsidR="00CB4953" w:rsidRPr="00677CD2">
          <w:rPr>
            <w:rStyle w:val="Hipercze"/>
            <w:noProof/>
          </w:rPr>
          <w:t>Wymagania dotyczące projektu</w:t>
        </w:r>
        <w:r w:rsidR="00CB4953">
          <w:rPr>
            <w:noProof/>
            <w:webHidden/>
          </w:rPr>
          <w:tab/>
        </w:r>
        <w:r w:rsidR="00CB4953">
          <w:rPr>
            <w:noProof/>
            <w:webHidden/>
          </w:rPr>
          <w:fldChar w:fldCharType="begin"/>
        </w:r>
        <w:r w:rsidR="00CB4953">
          <w:rPr>
            <w:noProof/>
            <w:webHidden/>
          </w:rPr>
          <w:instrText xml:space="preserve"> PAGEREF _Toc145936716 \h </w:instrText>
        </w:r>
        <w:r w:rsidR="00CB4953">
          <w:rPr>
            <w:noProof/>
            <w:webHidden/>
          </w:rPr>
        </w:r>
        <w:r w:rsidR="00CB4953">
          <w:rPr>
            <w:noProof/>
            <w:webHidden/>
          </w:rPr>
          <w:fldChar w:fldCharType="separate"/>
        </w:r>
        <w:r w:rsidR="00FB00FC">
          <w:rPr>
            <w:noProof/>
            <w:webHidden/>
          </w:rPr>
          <w:t>17</w:t>
        </w:r>
        <w:r w:rsidR="00CB4953">
          <w:rPr>
            <w:noProof/>
            <w:webHidden/>
          </w:rPr>
          <w:fldChar w:fldCharType="end"/>
        </w:r>
      </w:hyperlink>
    </w:p>
    <w:p w14:paraId="2C2FF214" w14:textId="5531A3F5" w:rsidR="00CB4953" w:rsidRDefault="003B4896">
      <w:pPr>
        <w:pStyle w:val="Spistreci2"/>
        <w:rPr>
          <w:rFonts w:asciiTheme="minorHAnsi" w:eastAsiaTheme="minorEastAsia" w:hAnsiTheme="minorHAnsi"/>
          <w:noProof/>
          <w:lang w:eastAsia="pl-PL"/>
        </w:rPr>
      </w:pPr>
      <w:hyperlink w:anchor="_Toc145936717" w:history="1">
        <w:r w:rsidR="00CB4953" w:rsidRPr="00677CD2">
          <w:rPr>
            <w:rStyle w:val="Hipercze"/>
            <w:noProof/>
          </w:rPr>
          <w:t>3.1.</w:t>
        </w:r>
        <w:r w:rsidR="00CB4953">
          <w:rPr>
            <w:rFonts w:asciiTheme="minorHAnsi" w:eastAsiaTheme="minorEastAsia" w:hAnsiTheme="minorHAnsi"/>
            <w:noProof/>
            <w:lang w:eastAsia="pl-PL"/>
          </w:rPr>
          <w:tab/>
        </w:r>
        <w:r w:rsidR="00CB4953" w:rsidRPr="00677CD2">
          <w:rPr>
            <w:rStyle w:val="Hipercze"/>
            <w:noProof/>
          </w:rPr>
          <w:t>Podmioty uprawnione do ubiegania się o dofinansowanie (Wnioskodawca)</w:t>
        </w:r>
        <w:r w:rsidR="00CB4953">
          <w:rPr>
            <w:noProof/>
            <w:webHidden/>
          </w:rPr>
          <w:tab/>
        </w:r>
        <w:r w:rsidR="00CB4953">
          <w:rPr>
            <w:noProof/>
            <w:webHidden/>
          </w:rPr>
          <w:fldChar w:fldCharType="begin"/>
        </w:r>
        <w:r w:rsidR="00CB4953">
          <w:rPr>
            <w:noProof/>
            <w:webHidden/>
          </w:rPr>
          <w:instrText xml:space="preserve"> PAGEREF _Toc145936717 \h </w:instrText>
        </w:r>
        <w:r w:rsidR="00CB4953">
          <w:rPr>
            <w:noProof/>
            <w:webHidden/>
          </w:rPr>
        </w:r>
        <w:r w:rsidR="00CB4953">
          <w:rPr>
            <w:noProof/>
            <w:webHidden/>
          </w:rPr>
          <w:fldChar w:fldCharType="separate"/>
        </w:r>
        <w:r w:rsidR="00FB00FC">
          <w:rPr>
            <w:noProof/>
            <w:webHidden/>
          </w:rPr>
          <w:t>17</w:t>
        </w:r>
        <w:r w:rsidR="00CB4953">
          <w:rPr>
            <w:noProof/>
            <w:webHidden/>
          </w:rPr>
          <w:fldChar w:fldCharType="end"/>
        </w:r>
      </w:hyperlink>
    </w:p>
    <w:p w14:paraId="4666AECD" w14:textId="2DD3F5AF" w:rsidR="00CB4953" w:rsidRDefault="003B4896">
      <w:pPr>
        <w:pStyle w:val="Spistreci2"/>
        <w:rPr>
          <w:rFonts w:asciiTheme="minorHAnsi" w:eastAsiaTheme="minorEastAsia" w:hAnsiTheme="minorHAnsi"/>
          <w:noProof/>
          <w:lang w:eastAsia="pl-PL"/>
        </w:rPr>
      </w:pPr>
      <w:hyperlink w:anchor="_Toc145936718" w:history="1">
        <w:r w:rsidR="00CB4953" w:rsidRPr="00677CD2">
          <w:rPr>
            <w:rStyle w:val="Hipercze"/>
            <w:noProof/>
          </w:rPr>
          <w:t>3.2.</w:t>
        </w:r>
        <w:r w:rsidR="00CB4953">
          <w:rPr>
            <w:rFonts w:asciiTheme="minorHAnsi" w:eastAsiaTheme="minorEastAsia" w:hAnsiTheme="minorHAnsi"/>
            <w:noProof/>
            <w:lang w:eastAsia="pl-PL"/>
          </w:rPr>
          <w:tab/>
        </w:r>
        <w:r w:rsidR="00CB4953" w:rsidRPr="00677CD2">
          <w:rPr>
            <w:rStyle w:val="Hipercze"/>
            <w:noProof/>
          </w:rPr>
          <w:t>Okres realizacji projektu</w:t>
        </w:r>
        <w:r w:rsidR="00CB4953">
          <w:rPr>
            <w:noProof/>
            <w:webHidden/>
          </w:rPr>
          <w:tab/>
        </w:r>
        <w:r w:rsidR="00CB4953">
          <w:rPr>
            <w:noProof/>
            <w:webHidden/>
          </w:rPr>
          <w:fldChar w:fldCharType="begin"/>
        </w:r>
        <w:r w:rsidR="00CB4953">
          <w:rPr>
            <w:noProof/>
            <w:webHidden/>
          </w:rPr>
          <w:instrText xml:space="preserve"> PAGEREF _Toc145936718 \h </w:instrText>
        </w:r>
        <w:r w:rsidR="00CB4953">
          <w:rPr>
            <w:noProof/>
            <w:webHidden/>
          </w:rPr>
        </w:r>
        <w:r w:rsidR="00CB4953">
          <w:rPr>
            <w:noProof/>
            <w:webHidden/>
          </w:rPr>
          <w:fldChar w:fldCharType="separate"/>
        </w:r>
        <w:r w:rsidR="00FB00FC">
          <w:rPr>
            <w:noProof/>
            <w:webHidden/>
          </w:rPr>
          <w:t>17</w:t>
        </w:r>
        <w:r w:rsidR="00CB4953">
          <w:rPr>
            <w:noProof/>
            <w:webHidden/>
          </w:rPr>
          <w:fldChar w:fldCharType="end"/>
        </w:r>
      </w:hyperlink>
    </w:p>
    <w:p w14:paraId="6C4CB786" w14:textId="5113C37A" w:rsidR="00CB4953" w:rsidRDefault="003B4896">
      <w:pPr>
        <w:pStyle w:val="Spistreci2"/>
        <w:rPr>
          <w:rFonts w:asciiTheme="minorHAnsi" w:eastAsiaTheme="minorEastAsia" w:hAnsiTheme="minorHAnsi"/>
          <w:noProof/>
          <w:lang w:eastAsia="pl-PL"/>
        </w:rPr>
      </w:pPr>
      <w:hyperlink w:anchor="_Toc145936719" w:history="1">
        <w:r w:rsidR="00CB4953" w:rsidRPr="00677CD2">
          <w:rPr>
            <w:rStyle w:val="Hipercze"/>
            <w:noProof/>
          </w:rPr>
          <w:t>3.3.</w:t>
        </w:r>
        <w:r w:rsidR="00CB4953">
          <w:rPr>
            <w:rFonts w:asciiTheme="minorHAnsi" w:eastAsiaTheme="minorEastAsia" w:hAnsiTheme="minorHAnsi"/>
            <w:noProof/>
            <w:lang w:eastAsia="pl-PL"/>
          </w:rPr>
          <w:tab/>
        </w:r>
        <w:r w:rsidR="00CB4953" w:rsidRPr="00677CD2">
          <w:rPr>
            <w:rStyle w:val="Hipercze"/>
            <w:noProof/>
          </w:rPr>
          <w:t>Grupa docelowa</w:t>
        </w:r>
        <w:r w:rsidR="00CB4953">
          <w:rPr>
            <w:noProof/>
            <w:webHidden/>
          </w:rPr>
          <w:tab/>
        </w:r>
        <w:r w:rsidR="00CB4953">
          <w:rPr>
            <w:noProof/>
            <w:webHidden/>
          </w:rPr>
          <w:fldChar w:fldCharType="begin"/>
        </w:r>
        <w:r w:rsidR="00CB4953">
          <w:rPr>
            <w:noProof/>
            <w:webHidden/>
          </w:rPr>
          <w:instrText xml:space="preserve"> PAGEREF _Toc145936719 \h </w:instrText>
        </w:r>
        <w:r w:rsidR="00CB4953">
          <w:rPr>
            <w:noProof/>
            <w:webHidden/>
          </w:rPr>
        </w:r>
        <w:r w:rsidR="00CB4953">
          <w:rPr>
            <w:noProof/>
            <w:webHidden/>
          </w:rPr>
          <w:fldChar w:fldCharType="separate"/>
        </w:r>
        <w:r w:rsidR="00FB00FC">
          <w:rPr>
            <w:noProof/>
            <w:webHidden/>
          </w:rPr>
          <w:t>17</w:t>
        </w:r>
        <w:r w:rsidR="00CB4953">
          <w:rPr>
            <w:noProof/>
            <w:webHidden/>
          </w:rPr>
          <w:fldChar w:fldCharType="end"/>
        </w:r>
      </w:hyperlink>
    </w:p>
    <w:p w14:paraId="562993B4" w14:textId="122FF8F8" w:rsidR="00CB4953" w:rsidRDefault="003B4896">
      <w:pPr>
        <w:pStyle w:val="Spistreci2"/>
        <w:rPr>
          <w:rFonts w:asciiTheme="minorHAnsi" w:eastAsiaTheme="minorEastAsia" w:hAnsiTheme="minorHAnsi"/>
          <w:noProof/>
          <w:lang w:eastAsia="pl-PL"/>
        </w:rPr>
      </w:pPr>
      <w:hyperlink w:anchor="_Toc145936720" w:history="1">
        <w:r w:rsidR="00CB4953" w:rsidRPr="00677CD2">
          <w:rPr>
            <w:rStyle w:val="Hipercze"/>
            <w:noProof/>
          </w:rPr>
          <w:t>3.4.</w:t>
        </w:r>
        <w:r w:rsidR="00CB4953">
          <w:rPr>
            <w:rFonts w:asciiTheme="minorHAnsi" w:eastAsiaTheme="minorEastAsia" w:hAnsiTheme="minorHAnsi"/>
            <w:noProof/>
            <w:lang w:eastAsia="pl-PL"/>
          </w:rPr>
          <w:tab/>
        </w:r>
        <w:r w:rsidR="00CB4953" w:rsidRPr="00677CD2">
          <w:rPr>
            <w:rStyle w:val="Hipercze"/>
            <w:noProof/>
          </w:rPr>
          <w:t>Wymagania dotyczące realizacji projektu grantowego</w:t>
        </w:r>
        <w:r w:rsidR="00CB4953">
          <w:rPr>
            <w:noProof/>
            <w:webHidden/>
          </w:rPr>
          <w:tab/>
        </w:r>
        <w:r w:rsidR="00CB4953">
          <w:rPr>
            <w:noProof/>
            <w:webHidden/>
          </w:rPr>
          <w:fldChar w:fldCharType="begin"/>
        </w:r>
        <w:r w:rsidR="00CB4953">
          <w:rPr>
            <w:noProof/>
            <w:webHidden/>
          </w:rPr>
          <w:instrText xml:space="preserve"> PAGEREF _Toc145936720 \h </w:instrText>
        </w:r>
        <w:r w:rsidR="00CB4953">
          <w:rPr>
            <w:noProof/>
            <w:webHidden/>
          </w:rPr>
        </w:r>
        <w:r w:rsidR="00CB4953">
          <w:rPr>
            <w:noProof/>
            <w:webHidden/>
          </w:rPr>
          <w:fldChar w:fldCharType="separate"/>
        </w:r>
        <w:r w:rsidR="00FB00FC">
          <w:rPr>
            <w:noProof/>
            <w:webHidden/>
          </w:rPr>
          <w:t>17</w:t>
        </w:r>
        <w:r w:rsidR="00CB4953">
          <w:rPr>
            <w:noProof/>
            <w:webHidden/>
          </w:rPr>
          <w:fldChar w:fldCharType="end"/>
        </w:r>
      </w:hyperlink>
    </w:p>
    <w:p w14:paraId="14143C55" w14:textId="5CD1E670" w:rsidR="00CB4953" w:rsidRDefault="003B4896">
      <w:pPr>
        <w:pStyle w:val="Spistreci2"/>
        <w:rPr>
          <w:rFonts w:asciiTheme="minorHAnsi" w:eastAsiaTheme="minorEastAsia" w:hAnsiTheme="minorHAnsi"/>
          <w:noProof/>
          <w:lang w:eastAsia="pl-PL"/>
        </w:rPr>
      </w:pPr>
      <w:hyperlink w:anchor="_Toc145936721" w:history="1">
        <w:r w:rsidR="00CB4953" w:rsidRPr="00677CD2">
          <w:rPr>
            <w:rStyle w:val="Hipercze"/>
            <w:noProof/>
          </w:rPr>
          <w:t>3.5.</w:t>
        </w:r>
        <w:r w:rsidR="00CB4953">
          <w:rPr>
            <w:rFonts w:asciiTheme="minorHAnsi" w:eastAsiaTheme="minorEastAsia" w:hAnsiTheme="minorHAnsi"/>
            <w:noProof/>
            <w:lang w:eastAsia="pl-PL"/>
          </w:rPr>
          <w:tab/>
        </w:r>
        <w:r w:rsidR="00CB4953" w:rsidRPr="00677CD2">
          <w:rPr>
            <w:rStyle w:val="Hipercze"/>
            <w:noProof/>
          </w:rPr>
          <w:t>Wskaźniki do osiągnięcia</w:t>
        </w:r>
        <w:r w:rsidR="00CB4953">
          <w:rPr>
            <w:noProof/>
            <w:webHidden/>
          </w:rPr>
          <w:tab/>
        </w:r>
        <w:r w:rsidR="00CB4953">
          <w:rPr>
            <w:noProof/>
            <w:webHidden/>
          </w:rPr>
          <w:fldChar w:fldCharType="begin"/>
        </w:r>
        <w:r w:rsidR="00CB4953">
          <w:rPr>
            <w:noProof/>
            <w:webHidden/>
          </w:rPr>
          <w:instrText xml:space="preserve"> PAGEREF _Toc145936721 \h </w:instrText>
        </w:r>
        <w:r w:rsidR="00CB4953">
          <w:rPr>
            <w:noProof/>
            <w:webHidden/>
          </w:rPr>
        </w:r>
        <w:r w:rsidR="00CB4953">
          <w:rPr>
            <w:noProof/>
            <w:webHidden/>
          </w:rPr>
          <w:fldChar w:fldCharType="separate"/>
        </w:r>
        <w:r w:rsidR="00FB00FC">
          <w:rPr>
            <w:noProof/>
            <w:webHidden/>
          </w:rPr>
          <w:t>25</w:t>
        </w:r>
        <w:r w:rsidR="00CB4953">
          <w:rPr>
            <w:noProof/>
            <w:webHidden/>
          </w:rPr>
          <w:fldChar w:fldCharType="end"/>
        </w:r>
      </w:hyperlink>
    </w:p>
    <w:p w14:paraId="675B377B" w14:textId="32826497" w:rsidR="00CB4953" w:rsidRDefault="003B4896">
      <w:pPr>
        <w:pStyle w:val="Spistreci2"/>
        <w:rPr>
          <w:rFonts w:asciiTheme="minorHAnsi" w:eastAsiaTheme="minorEastAsia" w:hAnsiTheme="minorHAnsi"/>
          <w:noProof/>
          <w:lang w:eastAsia="pl-PL"/>
        </w:rPr>
      </w:pPr>
      <w:hyperlink w:anchor="_Toc145936722" w:history="1">
        <w:r w:rsidR="00CB4953" w:rsidRPr="00677CD2">
          <w:rPr>
            <w:rStyle w:val="Hipercze"/>
            <w:noProof/>
          </w:rPr>
          <w:t>3.6.</w:t>
        </w:r>
        <w:r w:rsidR="00CB4953">
          <w:rPr>
            <w:rFonts w:asciiTheme="minorHAnsi" w:eastAsiaTheme="minorEastAsia" w:hAnsiTheme="minorHAnsi"/>
            <w:noProof/>
            <w:lang w:eastAsia="pl-PL"/>
          </w:rPr>
          <w:tab/>
        </w:r>
        <w:r w:rsidR="00CB4953" w:rsidRPr="00677CD2">
          <w:rPr>
            <w:rStyle w:val="Hipercze"/>
            <w:noProof/>
          </w:rPr>
          <w:t>Zasady horyzontalne</w:t>
        </w:r>
        <w:r w:rsidR="00CB4953">
          <w:rPr>
            <w:noProof/>
            <w:webHidden/>
          </w:rPr>
          <w:tab/>
        </w:r>
        <w:r w:rsidR="00CB4953">
          <w:rPr>
            <w:noProof/>
            <w:webHidden/>
          </w:rPr>
          <w:fldChar w:fldCharType="begin"/>
        </w:r>
        <w:r w:rsidR="00CB4953">
          <w:rPr>
            <w:noProof/>
            <w:webHidden/>
          </w:rPr>
          <w:instrText xml:space="preserve"> PAGEREF _Toc145936722 \h </w:instrText>
        </w:r>
        <w:r w:rsidR="00CB4953">
          <w:rPr>
            <w:noProof/>
            <w:webHidden/>
          </w:rPr>
        </w:r>
        <w:r w:rsidR="00CB4953">
          <w:rPr>
            <w:noProof/>
            <w:webHidden/>
          </w:rPr>
          <w:fldChar w:fldCharType="separate"/>
        </w:r>
        <w:r w:rsidR="00FB00FC">
          <w:rPr>
            <w:noProof/>
            <w:webHidden/>
          </w:rPr>
          <w:t>38</w:t>
        </w:r>
        <w:r w:rsidR="00CB4953">
          <w:rPr>
            <w:noProof/>
            <w:webHidden/>
          </w:rPr>
          <w:fldChar w:fldCharType="end"/>
        </w:r>
      </w:hyperlink>
    </w:p>
    <w:p w14:paraId="316C6923" w14:textId="082BE00F" w:rsidR="00CB4953" w:rsidRDefault="003B4896">
      <w:pPr>
        <w:pStyle w:val="Spistreci1"/>
        <w:tabs>
          <w:tab w:val="left" w:pos="440"/>
          <w:tab w:val="right" w:leader="dot" w:pos="9062"/>
        </w:tabs>
        <w:rPr>
          <w:rFonts w:asciiTheme="minorHAnsi" w:eastAsiaTheme="minorEastAsia" w:hAnsiTheme="minorHAnsi"/>
          <w:b w:val="0"/>
          <w:noProof/>
          <w:lang w:eastAsia="pl-PL"/>
        </w:rPr>
      </w:pPr>
      <w:hyperlink w:anchor="_Toc145936723" w:history="1">
        <w:r w:rsidR="00CB4953" w:rsidRPr="00677CD2">
          <w:rPr>
            <w:rStyle w:val="Hipercze"/>
            <w:noProof/>
          </w:rPr>
          <w:t>4.</w:t>
        </w:r>
        <w:r w:rsidR="00CB4953">
          <w:rPr>
            <w:rFonts w:asciiTheme="minorHAnsi" w:eastAsiaTheme="minorEastAsia" w:hAnsiTheme="minorHAnsi"/>
            <w:b w:val="0"/>
            <w:noProof/>
            <w:lang w:eastAsia="pl-PL"/>
          </w:rPr>
          <w:tab/>
        </w:r>
        <w:r w:rsidR="00CB4953" w:rsidRPr="00677CD2">
          <w:rPr>
            <w:rStyle w:val="Hipercze"/>
            <w:noProof/>
          </w:rPr>
          <w:t>Zasady finansowania</w:t>
        </w:r>
        <w:r w:rsidR="00CB4953">
          <w:rPr>
            <w:noProof/>
            <w:webHidden/>
          </w:rPr>
          <w:tab/>
        </w:r>
        <w:r w:rsidR="00CB4953">
          <w:rPr>
            <w:noProof/>
            <w:webHidden/>
          </w:rPr>
          <w:fldChar w:fldCharType="begin"/>
        </w:r>
        <w:r w:rsidR="00CB4953">
          <w:rPr>
            <w:noProof/>
            <w:webHidden/>
          </w:rPr>
          <w:instrText xml:space="preserve"> PAGEREF _Toc145936723 \h </w:instrText>
        </w:r>
        <w:r w:rsidR="00CB4953">
          <w:rPr>
            <w:noProof/>
            <w:webHidden/>
          </w:rPr>
        </w:r>
        <w:r w:rsidR="00CB4953">
          <w:rPr>
            <w:noProof/>
            <w:webHidden/>
          </w:rPr>
          <w:fldChar w:fldCharType="separate"/>
        </w:r>
        <w:r w:rsidR="00FB00FC">
          <w:rPr>
            <w:noProof/>
            <w:webHidden/>
          </w:rPr>
          <w:t>41</w:t>
        </w:r>
        <w:r w:rsidR="00CB4953">
          <w:rPr>
            <w:noProof/>
            <w:webHidden/>
          </w:rPr>
          <w:fldChar w:fldCharType="end"/>
        </w:r>
      </w:hyperlink>
    </w:p>
    <w:p w14:paraId="270A3C6F" w14:textId="4915A202" w:rsidR="00CB4953" w:rsidRDefault="003B4896">
      <w:pPr>
        <w:pStyle w:val="Spistreci2"/>
        <w:rPr>
          <w:rFonts w:asciiTheme="minorHAnsi" w:eastAsiaTheme="minorEastAsia" w:hAnsiTheme="minorHAnsi"/>
          <w:noProof/>
          <w:lang w:eastAsia="pl-PL"/>
        </w:rPr>
      </w:pPr>
      <w:hyperlink w:anchor="_Toc145936724" w:history="1">
        <w:r w:rsidR="00CB4953" w:rsidRPr="00677CD2">
          <w:rPr>
            <w:rStyle w:val="Hipercze"/>
            <w:noProof/>
          </w:rPr>
          <w:t>4.1.</w:t>
        </w:r>
        <w:r w:rsidR="00CB4953">
          <w:rPr>
            <w:rFonts w:asciiTheme="minorHAnsi" w:eastAsiaTheme="minorEastAsia" w:hAnsiTheme="minorHAnsi"/>
            <w:noProof/>
            <w:lang w:eastAsia="pl-PL"/>
          </w:rPr>
          <w:tab/>
        </w:r>
        <w:r w:rsidR="00CB4953" w:rsidRPr="00677CD2">
          <w:rPr>
            <w:rStyle w:val="Hipercze"/>
            <w:noProof/>
          </w:rPr>
          <w:t>Koszty bezpośrednie</w:t>
        </w:r>
        <w:r w:rsidR="00CB4953">
          <w:rPr>
            <w:noProof/>
            <w:webHidden/>
          </w:rPr>
          <w:tab/>
        </w:r>
        <w:r w:rsidR="00CB4953">
          <w:rPr>
            <w:noProof/>
            <w:webHidden/>
          </w:rPr>
          <w:fldChar w:fldCharType="begin"/>
        </w:r>
        <w:r w:rsidR="00CB4953">
          <w:rPr>
            <w:noProof/>
            <w:webHidden/>
          </w:rPr>
          <w:instrText xml:space="preserve"> PAGEREF _Toc145936724 \h </w:instrText>
        </w:r>
        <w:r w:rsidR="00CB4953">
          <w:rPr>
            <w:noProof/>
            <w:webHidden/>
          </w:rPr>
        </w:r>
        <w:r w:rsidR="00CB4953">
          <w:rPr>
            <w:noProof/>
            <w:webHidden/>
          </w:rPr>
          <w:fldChar w:fldCharType="separate"/>
        </w:r>
        <w:r w:rsidR="00FB00FC">
          <w:rPr>
            <w:noProof/>
            <w:webHidden/>
          </w:rPr>
          <w:t>41</w:t>
        </w:r>
        <w:r w:rsidR="00CB4953">
          <w:rPr>
            <w:noProof/>
            <w:webHidden/>
          </w:rPr>
          <w:fldChar w:fldCharType="end"/>
        </w:r>
      </w:hyperlink>
    </w:p>
    <w:p w14:paraId="4EBD2432" w14:textId="491646FF" w:rsidR="00CB4953" w:rsidRDefault="003B4896">
      <w:pPr>
        <w:pStyle w:val="Spistreci2"/>
        <w:rPr>
          <w:rFonts w:asciiTheme="minorHAnsi" w:eastAsiaTheme="minorEastAsia" w:hAnsiTheme="minorHAnsi"/>
          <w:noProof/>
          <w:lang w:eastAsia="pl-PL"/>
        </w:rPr>
      </w:pPr>
      <w:hyperlink w:anchor="_Toc145936725" w:history="1">
        <w:r w:rsidR="00CB4953" w:rsidRPr="00677CD2">
          <w:rPr>
            <w:rStyle w:val="Hipercze"/>
            <w:noProof/>
          </w:rPr>
          <w:t>4.2.</w:t>
        </w:r>
        <w:r w:rsidR="00CB4953">
          <w:rPr>
            <w:rFonts w:asciiTheme="minorHAnsi" w:eastAsiaTheme="minorEastAsia" w:hAnsiTheme="minorHAnsi"/>
            <w:noProof/>
            <w:lang w:eastAsia="pl-PL"/>
          </w:rPr>
          <w:tab/>
        </w:r>
        <w:r w:rsidR="00CB4953" w:rsidRPr="00677CD2">
          <w:rPr>
            <w:rStyle w:val="Hipercze"/>
            <w:noProof/>
          </w:rPr>
          <w:t>Cross-financing oraz zakup środków trwałych</w:t>
        </w:r>
        <w:r w:rsidR="00CB4953">
          <w:rPr>
            <w:noProof/>
            <w:webHidden/>
          </w:rPr>
          <w:tab/>
        </w:r>
        <w:r w:rsidR="00CB4953">
          <w:rPr>
            <w:noProof/>
            <w:webHidden/>
          </w:rPr>
          <w:fldChar w:fldCharType="begin"/>
        </w:r>
        <w:r w:rsidR="00CB4953">
          <w:rPr>
            <w:noProof/>
            <w:webHidden/>
          </w:rPr>
          <w:instrText xml:space="preserve"> PAGEREF _Toc145936725 \h </w:instrText>
        </w:r>
        <w:r w:rsidR="00CB4953">
          <w:rPr>
            <w:noProof/>
            <w:webHidden/>
          </w:rPr>
        </w:r>
        <w:r w:rsidR="00CB4953">
          <w:rPr>
            <w:noProof/>
            <w:webHidden/>
          </w:rPr>
          <w:fldChar w:fldCharType="separate"/>
        </w:r>
        <w:r w:rsidR="00FB00FC">
          <w:rPr>
            <w:noProof/>
            <w:webHidden/>
          </w:rPr>
          <w:t>41</w:t>
        </w:r>
        <w:r w:rsidR="00CB4953">
          <w:rPr>
            <w:noProof/>
            <w:webHidden/>
          </w:rPr>
          <w:fldChar w:fldCharType="end"/>
        </w:r>
      </w:hyperlink>
    </w:p>
    <w:p w14:paraId="49228301" w14:textId="716567F3" w:rsidR="00CB4953" w:rsidRDefault="003B4896">
      <w:pPr>
        <w:pStyle w:val="Spistreci2"/>
        <w:rPr>
          <w:rFonts w:asciiTheme="minorHAnsi" w:eastAsiaTheme="minorEastAsia" w:hAnsiTheme="minorHAnsi"/>
          <w:noProof/>
          <w:lang w:eastAsia="pl-PL"/>
        </w:rPr>
      </w:pPr>
      <w:hyperlink w:anchor="_Toc145936726" w:history="1">
        <w:r w:rsidR="00CB4953" w:rsidRPr="00677CD2">
          <w:rPr>
            <w:rStyle w:val="Hipercze"/>
            <w:noProof/>
          </w:rPr>
          <w:t>4.3.</w:t>
        </w:r>
        <w:r w:rsidR="00CB4953">
          <w:rPr>
            <w:rFonts w:asciiTheme="minorHAnsi" w:eastAsiaTheme="minorEastAsia" w:hAnsiTheme="minorHAnsi"/>
            <w:noProof/>
            <w:lang w:eastAsia="pl-PL"/>
          </w:rPr>
          <w:tab/>
        </w:r>
        <w:r w:rsidR="00CB4953" w:rsidRPr="00677CD2">
          <w:rPr>
            <w:rStyle w:val="Hipercze"/>
            <w:noProof/>
          </w:rPr>
          <w:t>Wkład własny</w:t>
        </w:r>
        <w:r w:rsidR="00CB4953">
          <w:rPr>
            <w:noProof/>
            <w:webHidden/>
          </w:rPr>
          <w:tab/>
        </w:r>
        <w:r w:rsidR="00CB4953">
          <w:rPr>
            <w:noProof/>
            <w:webHidden/>
          </w:rPr>
          <w:fldChar w:fldCharType="begin"/>
        </w:r>
        <w:r w:rsidR="00CB4953">
          <w:rPr>
            <w:noProof/>
            <w:webHidden/>
          </w:rPr>
          <w:instrText xml:space="preserve"> PAGEREF _Toc145936726 \h </w:instrText>
        </w:r>
        <w:r w:rsidR="00CB4953">
          <w:rPr>
            <w:noProof/>
            <w:webHidden/>
          </w:rPr>
        </w:r>
        <w:r w:rsidR="00CB4953">
          <w:rPr>
            <w:noProof/>
            <w:webHidden/>
          </w:rPr>
          <w:fldChar w:fldCharType="separate"/>
        </w:r>
        <w:r w:rsidR="00FB00FC">
          <w:rPr>
            <w:noProof/>
            <w:webHidden/>
          </w:rPr>
          <w:t>42</w:t>
        </w:r>
        <w:r w:rsidR="00CB4953">
          <w:rPr>
            <w:noProof/>
            <w:webHidden/>
          </w:rPr>
          <w:fldChar w:fldCharType="end"/>
        </w:r>
      </w:hyperlink>
    </w:p>
    <w:p w14:paraId="4C08AC55" w14:textId="3D01748C" w:rsidR="00CB4953" w:rsidRDefault="003B4896">
      <w:pPr>
        <w:pStyle w:val="Spistreci2"/>
        <w:rPr>
          <w:rFonts w:asciiTheme="minorHAnsi" w:eastAsiaTheme="minorEastAsia" w:hAnsiTheme="minorHAnsi"/>
          <w:noProof/>
          <w:lang w:eastAsia="pl-PL"/>
        </w:rPr>
      </w:pPr>
      <w:hyperlink w:anchor="_Toc145936727" w:history="1">
        <w:r w:rsidR="00CB4953" w:rsidRPr="00677CD2">
          <w:rPr>
            <w:rStyle w:val="Hipercze"/>
            <w:noProof/>
          </w:rPr>
          <w:t>4.4.</w:t>
        </w:r>
        <w:r w:rsidR="00CB4953">
          <w:rPr>
            <w:rFonts w:asciiTheme="minorHAnsi" w:eastAsiaTheme="minorEastAsia" w:hAnsiTheme="minorHAnsi"/>
            <w:noProof/>
            <w:lang w:eastAsia="pl-PL"/>
          </w:rPr>
          <w:tab/>
        </w:r>
        <w:r w:rsidR="00CB4953" w:rsidRPr="00677CD2">
          <w:rPr>
            <w:rStyle w:val="Hipercze"/>
            <w:noProof/>
          </w:rPr>
          <w:t>Personel projektu</w:t>
        </w:r>
        <w:r w:rsidR="00CB4953">
          <w:rPr>
            <w:noProof/>
            <w:webHidden/>
          </w:rPr>
          <w:tab/>
        </w:r>
        <w:r w:rsidR="00CB4953">
          <w:rPr>
            <w:noProof/>
            <w:webHidden/>
          </w:rPr>
          <w:fldChar w:fldCharType="begin"/>
        </w:r>
        <w:r w:rsidR="00CB4953">
          <w:rPr>
            <w:noProof/>
            <w:webHidden/>
          </w:rPr>
          <w:instrText xml:space="preserve"> PAGEREF _Toc145936727 \h </w:instrText>
        </w:r>
        <w:r w:rsidR="00CB4953">
          <w:rPr>
            <w:noProof/>
            <w:webHidden/>
          </w:rPr>
        </w:r>
        <w:r w:rsidR="00CB4953">
          <w:rPr>
            <w:noProof/>
            <w:webHidden/>
          </w:rPr>
          <w:fldChar w:fldCharType="separate"/>
        </w:r>
        <w:r w:rsidR="00FB00FC">
          <w:rPr>
            <w:noProof/>
            <w:webHidden/>
          </w:rPr>
          <w:t>43</w:t>
        </w:r>
        <w:r w:rsidR="00CB4953">
          <w:rPr>
            <w:noProof/>
            <w:webHidden/>
          </w:rPr>
          <w:fldChar w:fldCharType="end"/>
        </w:r>
      </w:hyperlink>
    </w:p>
    <w:p w14:paraId="03C81319" w14:textId="1A2DCC33" w:rsidR="00CB4953" w:rsidRDefault="003B4896">
      <w:pPr>
        <w:pStyle w:val="Spistreci2"/>
        <w:rPr>
          <w:rFonts w:asciiTheme="minorHAnsi" w:eastAsiaTheme="minorEastAsia" w:hAnsiTheme="minorHAnsi"/>
          <w:noProof/>
          <w:lang w:eastAsia="pl-PL"/>
        </w:rPr>
      </w:pPr>
      <w:hyperlink w:anchor="_Toc145936728" w:history="1">
        <w:r w:rsidR="00CB4953" w:rsidRPr="00677CD2">
          <w:rPr>
            <w:rStyle w:val="Hipercze"/>
            <w:noProof/>
          </w:rPr>
          <w:t>4.5.</w:t>
        </w:r>
        <w:r w:rsidR="00CB4953">
          <w:rPr>
            <w:rFonts w:asciiTheme="minorHAnsi" w:eastAsiaTheme="minorEastAsia" w:hAnsiTheme="minorHAnsi"/>
            <w:noProof/>
            <w:lang w:eastAsia="pl-PL"/>
          </w:rPr>
          <w:tab/>
        </w:r>
        <w:r w:rsidR="00CB4953" w:rsidRPr="00677CD2">
          <w:rPr>
            <w:rStyle w:val="Hipercze"/>
            <w:noProof/>
          </w:rPr>
          <w:t>Pomoc publiczna, pomoc de minimis</w:t>
        </w:r>
        <w:r w:rsidR="00CB4953">
          <w:rPr>
            <w:noProof/>
            <w:webHidden/>
          </w:rPr>
          <w:tab/>
        </w:r>
        <w:r w:rsidR="00CB4953">
          <w:rPr>
            <w:noProof/>
            <w:webHidden/>
          </w:rPr>
          <w:fldChar w:fldCharType="begin"/>
        </w:r>
        <w:r w:rsidR="00CB4953">
          <w:rPr>
            <w:noProof/>
            <w:webHidden/>
          </w:rPr>
          <w:instrText xml:space="preserve"> PAGEREF _Toc145936728 \h </w:instrText>
        </w:r>
        <w:r w:rsidR="00CB4953">
          <w:rPr>
            <w:noProof/>
            <w:webHidden/>
          </w:rPr>
        </w:r>
        <w:r w:rsidR="00CB4953">
          <w:rPr>
            <w:noProof/>
            <w:webHidden/>
          </w:rPr>
          <w:fldChar w:fldCharType="separate"/>
        </w:r>
        <w:r w:rsidR="00FB00FC">
          <w:rPr>
            <w:noProof/>
            <w:webHidden/>
          </w:rPr>
          <w:t>44</w:t>
        </w:r>
        <w:r w:rsidR="00CB4953">
          <w:rPr>
            <w:noProof/>
            <w:webHidden/>
          </w:rPr>
          <w:fldChar w:fldCharType="end"/>
        </w:r>
      </w:hyperlink>
    </w:p>
    <w:p w14:paraId="2D914DDF" w14:textId="527568B8" w:rsidR="00CB4953" w:rsidRDefault="003B4896">
      <w:pPr>
        <w:pStyle w:val="Spistreci2"/>
        <w:rPr>
          <w:rFonts w:asciiTheme="minorHAnsi" w:eastAsiaTheme="minorEastAsia" w:hAnsiTheme="minorHAnsi"/>
          <w:noProof/>
          <w:lang w:eastAsia="pl-PL"/>
        </w:rPr>
      </w:pPr>
      <w:hyperlink w:anchor="_Toc145936729" w:history="1">
        <w:r w:rsidR="00CB4953" w:rsidRPr="00677CD2">
          <w:rPr>
            <w:rStyle w:val="Hipercze"/>
            <w:noProof/>
          </w:rPr>
          <w:t>4.6.</w:t>
        </w:r>
        <w:r w:rsidR="00CB4953">
          <w:rPr>
            <w:rFonts w:asciiTheme="minorHAnsi" w:eastAsiaTheme="minorEastAsia" w:hAnsiTheme="minorHAnsi"/>
            <w:noProof/>
            <w:lang w:eastAsia="pl-PL"/>
          </w:rPr>
          <w:tab/>
        </w:r>
        <w:r w:rsidR="00CB4953" w:rsidRPr="00677CD2">
          <w:rPr>
            <w:rStyle w:val="Hipercze"/>
            <w:noProof/>
          </w:rPr>
          <w:t>VAT</w:t>
        </w:r>
        <w:r w:rsidR="00CB4953">
          <w:rPr>
            <w:noProof/>
            <w:webHidden/>
          </w:rPr>
          <w:tab/>
        </w:r>
        <w:r w:rsidR="00CB4953">
          <w:rPr>
            <w:noProof/>
            <w:webHidden/>
          </w:rPr>
          <w:fldChar w:fldCharType="begin"/>
        </w:r>
        <w:r w:rsidR="00CB4953">
          <w:rPr>
            <w:noProof/>
            <w:webHidden/>
          </w:rPr>
          <w:instrText xml:space="preserve"> PAGEREF _Toc145936729 \h </w:instrText>
        </w:r>
        <w:r w:rsidR="00CB4953">
          <w:rPr>
            <w:noProof/>
            <w:webHidden/>
          </w:rPr>
        </w:r>
        <w:r w:rsidR="00CB4953">
          <w:rPr>
            <w:noProof/>
            <w:webHidden/>
          </w:rPr>
          <w:fldChar w:fldCharType="separate"/>
        </w:r>
        <w:r w:rsidR="00FB00FC">
          <w:rPr>
            <w:noProof/>
            <w:webHidden/>
          </w:rPr>
          <w:t>44</w:t>
        </w:r>
        <w:r w:rsidR="00CB4953">
          <w:rPr>
            <w:noProof/>
            <w:webHidden/>
          </w:rPr>
          <w:fldChar w:fldCharType="end"/>
        </w:r>
      </w:hyperlink>
    </w:p>
    <w:p w14:paraId="3A6528CC" w14:textId="376A4BFD" w:rsidR="00CB4953" w:rsidRDefault="003B4896">
      <w:pPr>
        <w:pStyle w:val="Spistreci2"/>
        <w:rPr>
          <w:rFonts w:asciiTheme="minorHAnsi" w:eastAsiaTheme="minorEastAsia" w:hAnsiTheme="minorHAnsi"/>
          <w:noProof/>
          <w:lang w:eastAsia="pl-PL"/>
        </w:rPr>
      </w:pPr>
      <w:hyperlink w:anchor="_Toc145936730" w:history="1">
        <w:r w:rsidR="00CB4953" w:rsidRPr="00677CD2">
          <w:rPr>
            <w:rStyle w:val="Hipercze"/>
            <w:noProof/>
          </w:rPr>
          <w:t>4.7.</w:t>
        </w:r>
        <w:r w:rsidR="00CB4953">
          <w:rPr>
            <w:rFonts w:asciiTheme="minorHAnsi" w:eastAsiaTheme="minorEastAsia" w:hAnsiTheme="minorHAnsi"/>
            <w:noProof/>
            <w:lang w:eastAsia="pl-PL"/>
          </w:rPr>
          <w:tab/>
        </w:r>
        <w:r w:rsidR="00CB4953" w:rsidRPr="00677CD2">
          <w:rPr>
            <w:rStyle w:val="Hipercze"/>
            <w:noProof/>
          </w:rPr>
          <w:t>Koszty pośrednie</w:t>
        </w:r>
        <w:r w:rsidR="00CB4953">
          <w:rPr>
            <w:noProof/>
            <w:webHidden/>
          </w:rPr>
          <w:tab/>
        </w:r>
        <w:r w:rsidR="00CB4953">
          <w:rPr>
            <w:noProof/>
            <w:webHidden/>
          </w:rPr>
          <w:fldChar w:fldCharType="begin"/>
        </w:r>
        <w:r w:rsidR="00CB4953">
          <w:rPr>
            <w:noProof/>
            <w:webHidden/>
          </w:rPr>
          <w:instrText xml:space="preserve"> PAGEREF _Toc145936730 \h </w:instrText>
        </w:r>
        <w:r w:rsidR="00CB4953">
          <w:rPr>
            <w:noProof/>
            <w:webHidden/>
          </w:rPr>
        </w:r>
        <w:r w:rsidR="00CB4953">
          <w:rPr>
            <w:noProof/>
            <w:webHidden/>
          </w:rPr>
          <w:fldChar w:fldCharType="separate"/>
        </w:r>
        <w:r w:rsidR="00FB00FC">
          <w:rPr>
            <w:noProof/>
            <w:webHidden/>
          </w:rPr>
          <w:t>45</w:t>
        </w:r>
        <w:r w:rsidR="00CB4953">
          <w:rPr>
            <w:noProof/>
            <w:webHidden/>
          </w:rPr>
          <w:fldChar w:fldCharType="end"/>
        </w:r>
      </w:hyperlink>
    </w:p>
    <w:p w14:paraId="55DAEA35" w14:textId="76699AEC" w:rsidR="00CB4953" w:rsidRDefault="003B4896">
      <w:pPr>
        <w:pStyle w:val="Spistreci2"/>
        <w:rPr>
          <w:rFonts w:asciiTheme="minorHAnsi" w:eastAsiaTheme="minorEastAsia" w:hAnsiTheme="minorHAnsi"/>
          <w:noProof/>
          <w:lang w:eastAsia="pl-PL"/>
        </w:rPr>
      </w:pPr>
      <w:hyperlink w:anchor="_Toc145936731" w:history="1">
        <w:r w:rsidR="00CB4953" w:rsidRPr="00677CD2">
          <w:rPr>
            <w:rStyle w:val="Hipercze"/>
            <w:noProof/>
          </w:rPr>
          <w:t>4.8.</w:t>
        </w:r>
        <w:r w:rsidR="00CB4953">
          <w:rPr>
            <w:rFonts w:asciiTheme="minorHAnsi" w:eastAsiaTheme="minorEastAsia" w:hAnsiTheme="minorHAnsi"/>
            <w:noProof/>
            <w:lang w:eastAsia="pl-PL"/>
          </w:rPr>
          <w:tab/>
        </w:r>
        <w:r w:rsidR="00CB4953" w:rsidRPr="00677CD2">
          <w:rPr>
            <w:rStyle w:val="Hipercze"/>
            <w:noProof/>
          </w:rPr>
          <w:t>Ocena kwalifikowalności wydatków, w tym wydatki niekwalifikowalne</w:t>
        </w:r>
        <w:r w:rsidR="00CB4953">
          <w:rPr>
            <w:noProof/>
            <w:webHidden/>
          </w:rPr>
          <w:tab/>
        </w:r>
        <w:r w:rsidR="00CB4953">
          <w:rPr>
            <w:noProof/>
            <w:webHidden/>
          </w:rPr>
          <w:fldChar w:fldCharType="begin"/>
        </w:r>
        <w:r w:rsidR="00CB4953">
          <w:rPr>
            <w:noProof/>
            <w:webHidden/>
          </w:rPr>
          <w:instrText xml:space="preserve"> PAGEREF _Toc145936731 \h </w:instrText>
        </w:r>
        <w:r w:rsidR="00CB4953">
          <w:rPr>
            <w:noProof/>
            <w:webHidden/>
          </w:rPr>
        </w:r>
        <w:r w:rsidR="00CB4953">
          <w:rPr>
            <w:noProof/>
            <w:webHidden/>
          </w:rPr>
          <w:fldChar w:fldCharType="separate"/>
        </w:r>
        <w:r w:rsidR="00FB00FC">
          <w:rPr>
            <w:noProof/>
            <w:webHidden/>
          </w:rPr>
          <w:t>46</w:t>
        </w:r>
        <w:r w:rsidR="00CB4953">
          <w:rPr>
            <w:noProof/>
            <w:webHidden/>
          </w:rPr>
          <w:fldChar w:fldCharType="end"/>
        </w:r>
      </w:hyperlink>
    </w:p>
    <w:p w14:paraId="4A57D3C3" w14:textId="0028BF98" w:rsidR="00CB4953" w:rsidRDefault="003B4896">
      <w:pPr>
        <w:pStyle w:val="Spistreci2"/>
        <w:rPr>
          <w:rFonts w:asciiTheme="minorHAnsi" w:eastAsiaTheme="minorEastAsia" w:hAnsiTheme="minorHAnsi"/>
          <w:noProof/>
          <w:lang w:eastAsia="pl-PL"/>
        </w:rPr>
      </w:pPr>
      <w:hyperlink w:anchor="_Toc145936732" w:history="1">
        <w:r w:rsidR="00CB4953" w:rsidRPr="00677CD2">
          <w:rPr>
            <w:rStyle w:val="Hipercze"/>
            <w:noProof/>
          </w:rPr>
          <w:t>4.9.</w:t>
        </w:r>
        <w:r w:rsidR="00CB4953">
          <w:rPr>
            <w:rFonts w:asciiTheme="minorHAnsi" w:eastAsiaTheme="minorEastAsia" w:hAnsiTheme="minorHAnsi"/>
            <w:noProof/>
            <w:lang w:eastAsia="pl-PL"/>
          </w:rPr>
          <w:tab/>
        </w:r>
        <w:r w:rsidR="00CB4953" w:rsidRPr="00677CD2">
          <w:rPr>
            <w:rStyle w:val="Hipercze"/>
            <w:noProof/>
          </w:rPr>
          <w:t>Udzielanie zamówień w ramach projektu</w:t>
        </w:r>
        <w:r w:rsidR="00CB4953">
          <w:rPr>
            <w:noProof/>
            <w:webHidden/>
          </w:rPr>
          <w:tab/>
        </w:r>
        <w:r w:rsidR="00CB4953">
          <w:rPr>
            <w:noProof/>
            <w:webHidden/>
          </w:rPr>
          <w:fldChar w:fldCharType="begin"/>
        </w:r>
        <w:r w:rsidR="00CB4953">
          <w:rPr>
            <w:noProof/>
            <w:webHidden/>
          </w:rPr>
          <w:instrText xml:space="preserve"> PAGEREF _Toc145936732 \h </w:instrText>
        </w:r>
        <w:r w:rsidR="00CB4953">
          <w:rPr>
            <w:noProof/>
            <w:webHidden/>
          </w:rPr>
        </w:r>
        <w:r w:rsidR="00CB4953">
          <w:rPr>
            <w:noProof/>
            <w:webHidden/>
          </w:rPr>
          <w:fldChar w:fldCharType="separate"/>
        </w:r>
        <w:r w:rsidR="00FB00FC">
          <w:rPr>
            <w:noProof/>
            <w:webHidden/>
          </w:rPr>
          <w:t>50</w:t>
        </w:r>
        <w:r w:rsidR="00CB4953">
          <w:rPr>
            <w:noProof/>
            <w:webHidden/>
          </w:rPr>
          <w:fldChar w:fldCharType="end"/>
        </w:r>
      </w:hyperlink>
    </w:p>
    <w:p w14:paraId="2663B7E2" w14:textId="1E171605" w:rsidR="00CB4953" w:rsidRDefault="003B4896">
      <w:pPr>
        <w:pStyle w:val="Spistreci2"/>
        <w:rPr>
          <w:rFonts w:asciiTheme="minorHAnsi" w:eastAsiaTheme="minorEastAsia" w:hAnsiTheme="minorHAnsi"/>
          <w:noProof/>
          <w:lang w:eastAsia="pl-PL"/>
        </w:rPr>
      </w:pPr>
      <w:hyperlink w:anchor="_Toc145936733" w:history="1">
        <w:r w:rsidR="00CB4953" w:rsidRPr="00677CD2">
          <w:rPr>
            <w:rStyle w:val="Hipercze"/>
            <w:noProof/>
          </w:rPr>
          <w:t>4.10.</w:t>
        </w:r>
        <w:r w:rsidR="00CB4953">
          <w:rPr>
            <w:rFonts w:asciiTheme="minorHAnsi" w:eastAsiaTheme="minorEastAsia" w:hAnsiTheme="minorHAnsi"/>
            <w:noProof/>
            <w:lang w:eastAsia="pl-PL"/>
          </w:rPr>
          <w:tab/>
        </w:r>
        <w:r w:rsidR="00CB4953" w:rsidRPr="00677CD2">
          <w:rPr>
            <w:rStyle w:val="Hipercze"/>
            <w:noProof/>
          </w:rPr>
          <w:t>Informacja i promocja</w:t>
        </w:r>
        <w:r w:rsidR="00CB4953">
          <w:rPr>
            <w:noProof/>
            <w:webHidden/>
          </w:rPr>
          <w:tab/>
        </w:r>
        <w:r w:rsidR="00CB4953">
          <w:rPr>
            <w:noProof/>
            <w:webHidden/>
          </w:rPr>
          <w:fldChar w:fldCharType="begin"/>
        </w:r>
        <w:r w:rsidR="00CB4953">
          <w:rPr>
            <w:noProof/>
            <w:webHidden/>
          </w:rPr>
          <w:instrText xml:space="preserve"> PAGEREF _Toc145936733 \h </w:instrText>
        </w:r>
        <w:r w:rsidR="00CB4953">
          <w:rPr>
            <w:noProof/>
            <w:webHidden/>
          </w:rPr>
        </w:r>
        <w:r w:rsidR="00CB4953">
          <w:rPr>
            <w:noProof/>
            <w:webHidden/>
          </w:rPr>
          <w:fldChar w:fldCharType="separate"/>
        </w:r>
        <w:r w:rsidR="00FB00FC">
          <w:rPr>
            <w:noProof/>
            <w:webHidden/>
          </w:rPr>
          <w:t>51</w:t>
        </w:r>
        <w:r w:rsidR="00CB4953">
          <w:rPr>
            <w:noProof/>
            <w:webHidden/>
          </w:rPr>
          <w:fldChar w:fldCharType="end"/>
        </w:r>
      </w:hyperlink>
    </w:p>
    <w:p w14:paraId="5A921CFC" w14:textId="63F87B9D" w:rsidR="00CB4953" w:rsidRDefault="003B4896">
      <w:pPr>
        <w:pStyle w:val="Spistreci1"/>
        <w:tabs>
          <w:tab w:val="left" w:pos="440"/>
          <w:tab w:val="right" w:leader="dot" w:pos="9062"/>
        </w:tabs>
        <w:rPr>
          <w:rFonts w:asciiTheme="minorHAnsi" w:eastAsiaTheme="minorEastAsia" w:hAnsiTheme="minorHAnsi"/>
          <w:b w:val="0"/>
          <w:noProof/>
          <w:lang w:eastAsia="pl-PL"/>
        </w:rPr>
      </w:pPr>
      <w:hyperlink w:anchor="_Toc145936734" w:history="1">
        <w:r w:rsidR="00CB4953" w:rsidRPr="00677CD2">
          <w:rPr>
            <w:rStyle w:val="Hipercze"/>
            <w:noProof/>
          </w:rPr>
          <w:t>5.</w:t>
        </w:r>
        <w:r w:rsidR="00CB4953">
          <w:rPr>
            <w:rFonts w:asciiTheme="minorHAnsi" w:eastAsiaTheme="minorEastAsia" w:hAnsiTheme="minorHAnsi"/>
            <w:b w:val="0"/>
            <w:noProof/>
            <w:lang w:eastAsia="pl-PL"/>
          </w:rPr>
          <w:tab/>
        </w:r>
        <w:r w:rsidR="00CB4953" w:rsidRPr="00677CD2">
          <w:rPr>
            <w:rStyle w:val="Hipercze"/>
            <w:noProof/>
          </w:rPr>
          <w:t>Sposób wyboru projektu, jego opis i rozstrzygnięcie naboru</w:t>
        </w:r>
        <w:r w:rsidR="00CB4953">
          <w:rPr>
            <w:noProof/>
            <w:webHidden/>
          </w:rPr>
          <w:tab/>
        </w:r>
        <w:r w:rsidR="00CB4953">
          <w:rPr>
            <w:noProof/>
            <w:webHidden/>
          </w:rPr>
          <w:fldChar w:fldCharType="begin"/>
        </w:r>
        <w:r w:rsidR="00CB4953">
          <w:rPr>
            <w:noProof/>
            <w:webHidden/>
          </w:rPr>
          <w:instrText xml:space="preserve"> PAGEREF _Toc145936734 \h </w:instrText>
        </w:r>
        <w:r w:rsidR="00CB4953">
          <w:rPr>
            <w:noProof/>
            <w:webHidden/>
          </w:rPr>
        </w:r>
        <w:r w:rsidR="00CB4953">
          <w:rPr>
            <w:noProof/>
            <w:webHidden/>
          </w:rPr>
          <w:fldChar w:fldCharType="separate"/>
        </w:r>
        <w:r w:rsidR="00FB00FC">
          <w:rPr>
            <w:noProof/>
            <w:webHidden/>
          </w:rPr>
          <w:t>52</w:t>
        </w:r>
        <w:r w:rsidR="00CB4953">
          <w:rPr>
            <w:noProof/>
            <w:webHidden/>
          </w:rPr>
          <w:fldChar w:fldCharType="end"/>
        </w:r>
      </w:hyperlink>
    </w:p>
    <w:p w14:paraId="326EDF1E" w14:textId="7706C1EE" w:rsidR="00CB4953" w:rsidRDefault="003B4896">
      <w:pPr>
        <w:pStyle w:val="Spistreci2"/>
        <w:rPr>
          <w:rFonts w:asciiTheme="minorHAnsi" w:eastAsiaTheme="minorEastAsia" w:hAnsiTheme="minorHAnsi"/>
          <w:noProof/>
          <w:lang w:eastAsia="pl-PL"/>
        </w:rPr>
      </w:pPr>
      <w:hyperlink w:anchor="_Toc145936735" w:history="1">
        <w:r w:rsidR="00CB4953" w:rsidRPr="00677CD2">
          <w:rPr>
            <w:rStyle w:val="Hipercze"/>
            <w:noProof/>
          </w:rPr>
          <w:t>5.1.</w:t>
        </w:r>
        <w:r w:rsidR="00CB4953">
          <w:rPr>
            <w:rFonts w:asciiTheme="minorHAnsi" w:eastAsiaTheme="minorEastAsia" w:hAnsiTheme="minorHAnsi"/>
            <w:noProof/>
            <w:lang w:eastAsia="pl-PL"/>
          </w:rPr>
          <w:tab/>
        </w:r>
        <w:r w:rsidR="00CB4953" w:rsidRPr="00677CD2">
          <w:rPr>
            <w:rStyle w:val="Hipercze"/>
            <w:noProof/>
          </w:rPr>
          <w:t>Opis procedury oceny projektów</w:t>
        </w:r>
        <w:r w:rsidR="00CB4953">
          <w:rPr>
            <w:noProof/>
            <w:webHidden/>
          </w:rPr>
          <w:tab/>
        </w:r>
        <w:r w:rsidR="00CB4953">
          <w:rPr>
            <w:noProof/>
            <w:webHidden/>
          </w:rPr>
          <w:fldChar w:fldCharType="begin"/>
        </w:r>
        <w:r w:rsidR="00CB4953">
          <w:rPr>
            <w:noProof/>
            <w:webHidden/>
          </w:rPr>
          <w:instrText xml:space="preserve"> PAGEREF _Toc145936735 \h </w:instrText>
        </w:r>
        <w:r w:rsidR="00CB4953">
          <w:rPr>
            <w:noProof/>
            <w:webHidden/>
          </w:rPr>
        </w:r>
        <w:r w:rsidR="00CB4953">
          <w:rPr>
            <w:noProof/>
            <w:webHidden/>
          </w:rPr>
          <w:fldChar w:fldCharType="separate"/>
        </w:r>
        <w:r w:rsidR="00FB00FC">
          <w:rPr>
            <w:noProof/>
            <w:webHidden/>
          </w:rPr>
          <w:t>52</w:t>
        </w:r>
        <w:r w:rsidR="00CB4953">
          <w:rPr>
            <w:noProof/>
            <w:webHidden/>
          </w:rPr>
          <w:fldChar w:fldCharType="end"/>
        </w:r>
      </w:hyperlink>
    </w:p>
    <w:p w14:paraId="62724721" w14:textId="47E31506" w:rsidR="00CB4953" w:rsidRDefault="003B4896">
      <w:pPr>
        <w:pStyle w:val="Spistreci1"/>
        <w:tabs>
          <w:tab w:val="left" w:pos="440"/>
          <w:tab w:val="right" w:leader="dot" w:pos="9062"/>
        </w:tabs>
        <w:rPr>
          <w:rFonts w:asciiTheme="minorHAnsi" w:eastAsiaTheme="minorEastAsia" w:hAnsiTheme="minorHAnsi"/>
          <w:b w:val="0"/>
          <w:noProof/>
          <w:lang w:eastAsia="pl-PL"/>
        </w:rPr>
      </w:pPr>
      <w:hyperlink w:anchor="_Toc145936736" w:history="1">
        <w:r w:rsidR="00CB4953" w:rsidRPr="00677CD2">
          <w:rPr>
            <w:rStyle w:val="Hipercze"/>
            <w:noProof/>
          </w:rPr>
          <w:t>6.</w:t>
        </w:r>
        <w:r w:rsidR="00CB4953">
          <w:rPr>
            <w:rFonts w:asciiTheme="minorHAnsi" w:eastAsiaTheme="minorEastAsia" w:hAnsiTheme="minorHAnsi"/>
            <w:b w:val="0"/>
            <w:noProof/>
            <w:lang w:eastAsia="pl-PL"/>
          </w:rPr>
          <w:tab/>
        </w:r>
        <w:r w:rsidR="00CB4953" w:rsidRPr="00677CD2">
          <w:rPr>
            <w:rStyle w:val="Hipercze"/>
            <w:noProof/>
          </w:rPr>
          <w:t>Spis załączników</w:t>
        </w:r>
        <w:r w:rsidR="00CB4953">
          <w:rPr>
            <w:noProof/>
            <w:webHidden/>
          </w:rPr>
          <w:tab/>
        </w:r>
        <w:r w:rsidR="00CB4953">
          <w:rPr>
            <w:noProof/>
            <w:webHidden/>
          </w:rPr>
          <w:fldChar w:fldCharType="begin"/>
        </w:r>
        <w:r w:rsidR="00CB4953">
          <w:rPr>
            <w:noProof/>
            <w:webHidden/>
          </w:rPr>
          <w:instrText xml:space="preserve"> PAGEREF _Toc145936736 \h </w:instrText>
        </w:r>
        <w:r w:rsidR="00CB4953">
          <w:rPr>
            <w:noProof/>
            <w:webHidden/>
          </w:rPr>
        </w:r>
        <w:r w:rsidR="00CB4953">
          <w:rPr>
            <w:noProof/>
            <w:webHidden/>
          </w:rPr>
          <w:fldChar w:fldCharType="separate"/>
        </w:r>
        <w:r w:rsidR="00FB00FC">
          <w:rPr>
            <w:noProof/>
            <w:webHidden/>
          </w:rPr>
          <w:t>55</w:t>
        </w:r>
        <w:r w:rsidR="00CB4953">
          <w:rPr>
            <w:noProof/>
            <w:webHidden/>
          </w:rPr>
          <w:fldChar w:fldCharType="end"/>
        </w:r>
      </w:hyperlink>
    </w:p>
    <w:p w14:paraId="5BD46CC2" w14:textId="551FB6E5" w:rsidR="004E4380" w:rsidRPr="00664B7D" w:rsidRDefault="00165326" w:rsidP="001C3CAC">
      <w:pPr>
        <w:spacing w:line="259" w:lineRule="auto"/>
        <w:rPr>
          <w:rFonts w:cs="Arial"/>
          <w:b/>
          <w:sz w:val="24"/>
          <w:szCs w:val="24"/>
        </w:rPr>
      </w:pPr>
      <w:r w:rsidRPr="00664B7D">
        <w:rPr>
          <w:rFonts w:cs="Arial"/>
          <w:b/>
          <w:sz w:val="24"/>
          <w:szCs w:val="24"/>
        </w:rPr>
        <w:fldChar w:fldCharType="end"/>
      </w:r>
      <w:r w:rsidR="004E4380" w:rsidRPr="00664B7D">
        <w:br w:type="page"/>
      </w:r>
    </w:p>
    <w:p w14:paraId="7F5D2CCF" w14:textId="77777777" w:rsidR="00D6679F" w:rsidRPr="00664B7D" w:rsidRDefault="00D6679F" w:rsidP="00EC7D19">
      <w:pPr>
        <w:pStyle w:val="Rozdzia-K"/>
        <w:numPr>
          <w:ilvl w:val="0"/>
          <w:numId w:val="0"/>
        </w:numPr>
        <w:jc w:val="left"/>
      </w:pPr>
      <w:bookmarkStart w:id="1" w:name="_Toc145936705"/>
      <w:r w:rsidRPr="00664B7D">
        <w:lastRenderedPageBreak/>
        <w:t>Słownik skrótów i pojęć</w:t>
      </w:r>
      <w:bookmarkEnd w:id="1"/>
    </w:p>
    <w:p w14:paraId="348CF557" w14:textId="77777777" w:rsidR="00EF140B" w:rsidRPr="00664B7D" w:rsidRDefault="00EF140B" w:rsidP="00B310B6">
      <w:pPr>
        <w:pStyle w:val="Nagwek-K"/>
      </w:pPr>
      <w:r w:rsidRPr="00B310B6">
        <w:t>Wykaz</w:t>
      </w:r>
      <w:r w:rsidRPr="00664B7D">
        <w:t xml:space="preserve"> skrótów</w:t>
      </w:r>
    </w:p>
    <w:p w14:paraId="36A1E2C3" w14:textId="77777777" w:rsidR="00991E1B" w:rsidRPr="00664B7D" w:rsidRDefault="00991E1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bCs/>
        </w:rPr>
        <w:t xml:space="preserve">DEFS </w:t>
      </w:r>
      <w:r w:rsidRPr="00664B7D">
        <w:rPr>
          <w:rFonts w:eastAsia="Calibri" w:cs="Arial"/>
          <w:bCs/>
        </w:rPr>
        <w:t>- Departament Europejskiego Funduszu Społecznego;</w:t>
      </w:r>
    </w:p>
    <w:p w14:paraId="1EACD310" w14:textId="77777777" w:rsidR="00EF140B" w:rsidRPr="00664B7D" w:rsidRDefault="00EF140B" w:rsidP="00EC7D19">
      <w:pPr>
        <w:numPr>
          <w:ilvl w:val="0"/>
          <w:numId w:val="4"/>
        </w:numPr>
        <w:tabs>
          <w:tab w:val="center" w:pos="4536"/>
          <w:tab w:val="right" w:pos="9072"/>
        </w:tabs>
        <w:spacing w:before="40" w:after="40"/>
        <w:ind w:left="426" w:hanging="426"/>
        <w:rPr>
          <w:rFonts w:eastAsia="Calibri" w:cs="Arial"/>
        </w:rPr>
      </w:pPr>
      <w:r w:rsidRPr="00664B7D">
        <w:rPr>
          <w:rFonts w:eastAsia="Calibri" w:cs="Arial"/>
          <w:b/>
        </w:rPr>
        <w:t>EFS+</w:t>
      </w:r>
      <w:r w:rsidRPr="00664B7D">
        <w:rPr>
          <w:rFonts w:eastAsia="Calibri" w:cs="Arial"/>
          <w:bCs/>
        </w:rPr>
        <w:t xml:space="preserve"> – Europejski Fundusz Społeczny Plus;</w:t>
      </w:r>
    </w:p>
    <w:p w14:paraId="195FD846" w14:textId="77777777" w:rsidR="00D04EA9" w:rsidRDefault="00EF140B" w:rsidP="00EC7D19">
      <w:pPr>
        <w:numPr>
          <w:ilvl w:val="0"/>
          <w:numId w:val="4"/>
        </w:numPr>
        <w:tabs>
          <w:tab w:val="center" w:pos="4536"/>
          <w:tab w:val="right" w:pos="9072"/>
        </w:tabs>
        <w:spacing w:before="40" w:after="40"/>
        <w:ind w:left="426" w:hanging="426"/>
        <w:rPr>
          <w:rFonts w:eastAsia="Calibri" w:cs="Arial"/>
          <w:bCs/>
        </w:rPr>
      </w:pPr>
      <w:proofErr w:type="spellStart"/>
      <w:r w:rsidRPr="00664B7D">
        <w:rPr>
          <w:rFonts w:eastAsia="Calibri" w:cs="Arial"/>
          <w:b/>
        </w:rPr>
        <w:t>FEWiM</w:t>
      </w:r>
      <w:proofErr w:type="spellEnd"/>
      <w:r w:rsidRPr="00664B7D">
        <w:rPr>
          <w:rFonts w:eastAsia="Calibri" w:cs="Arial"/>
          <w:bCs/>
        </w:rPr>
        <w:t xml:space="preserve"> – Program Regionalny Fundusze Europejskie dla Warmii i Mazur na lata 2021-2027;</w:t>
      </w:r>
    </w:p>
    <w:p w14:paraId="6729D916" w14:textId="4B2C0986" w:rsidR="00EF140B" w:rsidRPr="00D04EA9" w:rsidRDefault="00D04EA9"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rPr>
        <w:t xml:space="preserve">Instrukcja merytoryczna </w:t>
      </w:r>
      <w:r w:rsidRPr="00664B7D">
        <w:rPr>
          <w:rFonts w:eastAsia="Calibri" w:cs="Arial"/>
          <w:bCs/>
        </w:rPr>
        <w:t xml:space="preserve">- </w:t>
      </w:r>
      <w:r w:rsidRPr="00664B7D">
        <w:rPr>
          <w:rFonts w:cs="Arial"/>
        </w:rPr>
        <w:t>Instrukcja (merytoryczna) wypełniania wniosku o dofinansowanie projektu współfinansowanego z EFS+ w ramach Programu Fundusze Europejskie dla Warmii i Mazur na lata 2021-2027 (</w:t>
      </w:r>
      <w:proofErr w:type="spellStart"/>
      <w:r w:rsidRPr="00664B7D">
        <w:rPr>
          <w:rFonts w:cs="Arial"/>
        </w:rPr>
        <w:t>FEWiM</w:t>
      </w:r>
      <w:proofErr w:type="spellEnd"/>
      <w:r w:rsidRPr="00664B7D">
        <w:rPr>
          <w:rFonts w:cs="Arial"/>
        </w:rPr>
        <w:t xml:space="preserve"> 2021-2027);</w:t>
      </w:r>
      <w:r w:rsidR="00EF140B" w:rsidRPr="00D04EA9">
        <w:rPr>
          <w:rFonts w:eastAsia="Calibri" w:cs="Arial"/>
          <w:bCs/>
        </w:rPr>
        <w:t xml:space="preserve"> </w:t>
      </w:r>
    </w:p>
    <w:p w14:paraId="26D412C9" w14:textId="77777777" w:rsidR="00EF140B" w:rsidRPr="00664B7D" w:rsidRDefault="00EF140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rPr>
        <w:t>ION</w:t>
      </w:r>
      <w:r w:rsidRPr="00664B7D">
        <w:rPr>
          <w:rFonts w:eastAsia="Calibri" w:cs="Arial"/>
          <w:bCs/>
        </w:rPr>
        <w:t xml:space="preserve"> – Instytucja Organizująca Nabór;</w:t>
      </w:r>
    </w:p>
    <w:p w14:paraId="30E1802A" w14:textId="77777777" w:rsidR="00EF140B" w:rsidRPr="00664B7D" w:rsidRDefault="00EF140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rPr>
        <w:t xml:space="preserve">IZ </w:t>
      </w:r>
      <w:r w:rsidRPr="00664B7D">
        <w:rPr>
          <w:rFonts w:eastAsia="Calibri" w:cs="Arial"/>
          <w:bCs/>
        </w:rPr>
        <w:t xml:space="preserve">– Instytucja Zarządzająca Programem </w:t>
      </w:r>
      <w:proofErr w:type="spellStart"/>
      <w:r w:rsidRPr="00664B7D">
        <w:rPr>
          <w:rFonts w:eastAsia="Calibri" w:cs="Arial"/>
          <w:bCs/>
        </w:rPr>
        <w:t>FEW</w:t>
      </w:r>
      <w:r w:rsidR="00021AB0" w:rsidRPr="00664B7D">
        <w:rPr>
          <w:rFonts w:eastAsia="Calibri" w:cs="Arial"/>
          <w:bCs/>
        </w:rPr>
        <w:t>i</w:t>
      </w:r>
      <w:r w:rsidRPr="00664B7D">
        <w:rPr>
          <w:rFonts w:eastAsia="Calibri" w:cs="Arial"/>
          <w:bCs/>
        </w:rPr>
        <w:t>M</w:t>
      </w:r>
      <w:proofErr w:type="spellEnd"/>
      <w:r w:rsidRPr="00664B7D">
        <w:rPr>
          <w:rFonts w:eastAsia="Calibri" w:cs="Arial"/>
          <w:bCs/>
        </w:rPr>
        <w:t xml:space="preserve"> 2021-2027;</w:t>
      </w:r>
    </w:p>
    <w:p w14:paraId="55FE8840" w14:textId="77777777" w:rsidR="00EF140B" w:rsidRPr="00664B7D" w:rsidRDefault="00EF140B" w:rsidP="00EC7D19">
      <w:pPr>
        <w:pStyle w:val="Akapitzlist"/>
        <w:numPr>
          <w:ilvl w:val="0"/>
          <w:numId w:val="4"/>
        </w:numPr>
        <w:spacing w:after="0"/>
        <w:ind w:left="426" w:hanging="426"/>
        <w:rPr>
          <w:rFonts w:cs="Arial"/>
        </w:rPr>
      </w:pPr>
      <w:r w:rsidRPr="00664B7D">
        <w:rPr>
          <w:rFonts w:cs="Arial"/>
          <w:b/>
          <w:bCs/>
        </w:rPr>
        <w:t xml:space="preserve">KM </w:t>
      </w:r>
      <w:r w:rsidRPr="00664B7D">
        <w:rPr>
          <w:rFonts w:cs="Arial"/>
        </w:rPr>
        <w:t>– Komitet Monitorujący Fundusze Europejskie;</w:t>
      </w:r>
    </w:p>
    <w:p w14:paraId="20BDD38C" w14:textId="77777777" w:rsidR="00EF140B" w:rsidRPr="00664B7D" w:rsidRDefault="00EF140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rPr>
        <w:t>KOF-M</w:t>
      </w:r>
      <w:r w:rsidRPr="00664B7D">
        <w:rPr>
          <w:rFonts w:eastAsia="Calibri" w:cs="Arial"/>
          <w:bCs/>
        </w:rPr>
        <w:t xml:space="preserve"> – Karta oceny formalno-merytorycznej wniosku o dofinansowanie projektu nie</w:t>
      </w:r>
      <w:r w:rsidRPr="00664B7D">
        <w:rPr>
          <w:rFonts w:cs="Arial"/>
        </w:rPr>
        <w:t xml:space="preserve">konkurencyjnego </w:t>
      </w:r>
      <w:proofErr w:type="spellStart"/>
      <w:r w:rsidRPr="00664B7D">
        <w:rPr>
          <w:rFonts w:cs="Arial"/>
        </w:rPr>
        <w:t>FEWiM</w:t>
      </w:r>
      <w:proofErr w:type="spellEnd"/>
      <w:r w:rsidRPr="00664B7D">
        <w:rPr>
          <w:rFonts w:cs="Arial"/>
        </w:rPr>
        <w:t xml:space="preserve"> 2021-2027</w:t>
      </w:r>
      <w:r w:rsidRPr="00664B7D">
        <w:rPr>
          <w:rFonts w:eastAsia="Calibri" w:cs="Arial"/>
          <w:bCs/>
        </w:rPr>
        <w:t>;</w:t>
      </w:r>
    </w:p>
    <w:p w14:paraId="2D696299" w14:textId="77777777" w:rsidR="00EF140B" w:rsidRPr="00664B7D" w:rsidRDefault="00EF140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rPr>
        <w:t>KOP</w:t>
      </w:r>
      <w:r w:rsidRPr="00664B7D">
        <w:rPr>
          <w:rFonts w:eastAsia="Calibri" w:cs="Arial"/>
          <w:bCs/>
        </w:rPr>
        <w:t xml:space="preserve"> - Komisja Oceny Projektów, o której mowa w art. 53 ustawy wdrożeniowej;</w:t>
      </w:r>
    </w:p>
    <w:p w14:paraId="5962420B" w14:textId="4A4143DC" w:rsidR="00EF140B" w:rsidRPr="00664B7D" w:rsidRDefault="00EF140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rPr>
        <w:t>SOWA EFS</w:t>
      </w:r>
      <w:r w:rsidRPr="00664B7D">
        <w:rPr>
          <w:rFonts w:eastAsia="Calibri" w:cs="Arial"/>
          <w:bCs/>
        </w:rPr>
        <w:t xml:space="preserve"> – </w:t>
      </w:r>
      <w:r w:rsidR="00993BF8" w:rsidRPr="00664B7D">
        <w:rPr>
          <w:rFonts w:eastAsia="Calibri" w:cs="Arial"/>
          <w:bCs/>
        </w:rPr>
        <w:t>System Obsługi Wniosków Aplikacyjnych Europejski Fundusz Społeczny Plus</w:t>
      </w:r>
      <w:r w:rsidR="00502B08" w:rsidRPr="00664B7D">
        <w:rPr>
          <w:rFonts w:eastAsia="Calibri" w:cs="Arial"/>
          <w:bCs/>
        </w:rPr>
        <w:t>;</w:t>
      </w:r>
    </w:p>
    <w:p w14:paraId="298C8A2C" w14:textId="44D51F05" w:rsidR="00021AB0" w:rsidRPr="00664B7D" w:rsidRDefault="00EF140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rPr>
        <w:t>SZOP</w:t>
      </w:r>
      <w:r w:rsidRPr="00664B7D">
        <w:rPr>
          <w:rFonts w:eastAsia="Calibri" w:cs="Arial"/>
          <w:bCs/>
        </w:rPr>
        <w:t xml:space="preserve"> – Szczegółowy Opis Priorytetów Programu </w:t>
      </w:r>
      <w:r w:rsidR="003907ED" w:rsidRPr="00664B7D">
        <w:rPr>
          <w:rFonts w:eastAsia="Calibri" w:cs="Arial"/>
          <w:bCs/>
        </w:rPr>
        <w:t xml:space="preserve">Fundusze Europejskie dla </w:t>
      </w:r>
      <w:proofErr w:type="spellStart"/>
      <w:r w:rsidR="003907ED" w:rsidRPr="00664B7D">
        <w:rPr>
          <w:rFonts w:eastAsia="Calibri" w:cs="Arial"/>
          <w:bCs/>
        </w:rPr>
        <w:t>Warmi</w:t>
      </w:r>
      <w:proofErr w:type="spellEnd"/>
      <w:r w:rsidR="003907ED" w:rsidRPr="00664B7D">
        <w:rPr>
          <w:rFonts w:eastAsia="Calibri" w:cs="Arial"/>
          <w:bCs/>
        </w:rPr>
        <w:t xml:space="preserve"> </w:t>
      </w:r>
      <w:r w:rsidR="002D615F" w:rsidRPr="00664B7D">
        <w:rPr>
          <w:rFonts w:eastAsia="Calibri" w:cs="Arial"/>
          <w:bCs/>
        </w:rPr>
        <w:br/>
      </w:r>
      <w:r w:rsidR="003907ED" w:rsidRPr="00664B7D">
        <w:rPr>
          <w:rFonts w:eastAsia="Calibri" w:cs="Arial"/>
          <w:bCs/>
        </w:rPr>
        <w:t>i Mazur</w:t>
      </w:r>
      <w:r w:rsidR="00502B08" w:rsidRPr="00664B7D">
        <w:rPr>
          <w:rFonts w:eastAsia="Calibri" w:cs="Arial"/>
          <w:bCs/>
        </w:rPr>
        <w:t>;</w:t>
      </w:r>
    </w:p>
    <w:p w14:paraId="05C8B802" w14:textId="581D0A6C" w:rsidR="00991E1B" w:rsidRPr="00664B7D" w:rsidRDefault="00991E1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rPr>
        <w:t xml:space="preserve">UE </w:t>
      </w:r>
      <w:r w:rsidRPr="00664B7D">
        <w:rPr>
          <w:rFonts w:eastAsia="Calibri" w:cs="Arial"/>
          <w:bCs/>
        </w:rPr>
        <w:t>- Unia Europejska</w:t>
      </w:r>
      <w:r w:rsidR="00405E70" w:rsidRPr="00664B7D">
        <w:rPr>
          <w:rFonts w:eastAsia="Calibri" w:cs="Arial"/>
          <w:bCs/>
        </w:rPr>
        <w:t>.</w:t>
      </w:r>
    </w:p>
    <w:p w14:paraId="274C0626" w14:textId="77777777" w:rsidR="00983651" w:rsidRPr="00664B7D" w:rsidRDefault="00983651" w:rsidP="00B310B6">
      <w:pPr>
        <w:tabs>
          <w:tab w:val="center" w:pos="4536"/>
          <w:tab w:val="right" w:pos="9072"/>
        </w:tabs>
        <w:spacing w:before="40" w:after="40" w:line="240" w:lineRule="auto"/>
        <w:rPr>
          <w:rFonts w:eastAsia="Calibri" w:cs="Arial"/>
          <w:bCs/>
        </w:rPr>
      </w:pPr>
    </w:p>
    <w:p w14:paraId="7C6E0DE5" w14:textId="167D86DE" w:rsidR="00991E1B" w:rsidRPr="00664B7D" w:rsidRDefault="00991E1B" w:rsidP="00B310B6">
      <w:pPr>
        <w:pStyle w:val="Nagwek-K"/>
      </w:pPr>
      <w:r w:rsidRPr="00664B7D">
        <w:t>Wykaz pojęć</w:t>
      </w:r>
    </w:p>
    <w:p w14:paraId="5AC22A52" w14:textId="5BFFA3DA" w:rsidR="00991E1B" w:rsidRPr="00664B7D" w:rsidRDefault="00991E1B"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bCs/>
        </w:rPr>
        <w:t>Beneficjent</w:t>
      </w:r>
      <w:r w:rsidRPr="00664B7D">
        <w:rPr>
          <w:rFonts w:eastAsia="Calibri" w:cs="Arial"/>
          <w:bCs/>
        </w:rPr>
        <w:t xml:space="preserve"> - </w:t>
      </w:r>
      <w:r w:rsidR="00DF1D67" w:rsidRPr="00664B7D">
        <w:rPr>
          <w:rFonts w:eastAsia="Calibri" w:cs="Arial"/>
          <w:bCs/>
        </w:rPr>
        <w:t xml:space="preserve">zwany również </w:t>
      </w:r>
      <w:proofErr w:type="spellStart"/>
      <w:r w:rsidR="00DF1D67" w:rsidRPr="00664B7D">
        <w:rPr>
          <w:rFonts w:eastAsia="Calibri" w:cs="Arial"/>
          <w:bCs/>
        </w:rPr>
        <w:t>Grantodawcą</w:t>
      </w:r>
      <w:proofErr w:type="spellEnd"/>
      <w:r w:rsidR="00DF1D67" w:rsidRPr="00664B7D">
        <w:rPr>
          <w:rFonts w:eastAsia="Calibri" w:cs="Arial"/>
          <w:bCs/>
        </w:rPr>
        <w:t xml:space="preserve"> - </w:t>
      </w:r>
      <w:r w:rsidRPr="00664B7D">
        <w:rPr>
          <w:rFonts w:eastAsia="Calibri" w:cs="Arial"/>
          <w:bCs/>
        </w:rPr>
        <w:t>podmiot odpowiedzialny za realizację projektu;</w:t>
      </w:r>
    </w:p>
    <w:p w14:paraId="475C8337" w14:textId="215EA8A5" w:rsidR="00983651" w:rsidRPr="00664B7D" w:rsidRDefault="00983651" w:rsidP="00EC7D19">
      <w:pPr>
        <w:numPr>
          <w:ilvl w:val="0"/>
          <w:numId w:val="4"/>
        </w:numPr>
        <w:tabs>
          <w:tab w:val="center" w:pos="4536"/>
          <w:tab w:val="right" w:pos="9072"/>
        </w:tabs>
        <w:spacing w:before="40" w:after="40"/>
        <w:ind w:left="426" w:hanging="426"/>
        <w:rPr>
          <w:rFonts w:eastAsia="Calibri" w:cs="Arial"/>
          <w:bCs/>
        </w:rPr>
      </w:pPr>
      <w:r w:rsidRPr="00664B7D">
        <w:rPr>
          <w:rFonts w:eastAsia="Calibri" w:cs="Arial"/>
          <w:b/>
          <w:bCs/>
        </w:rPr>
        <w:t xml:space="preserve">Grant </w:t>
      </w:r>
      <w:r w:rsidRPr="00664B7D">
        <w:rPr>
          <w:rFonts w:eastAsia="Calibri" w:cs="Arial"/>
          <w:bCs/>
        </w:rPr>
        <w:t>- środki</w:t>
      </w:r>
      <w:r w:rsidR="00EE6487" w:rsidRPr="00664B7D">
        <w:rPr>
          <w:rFonts w:eastAsia="Calibri" w:cs="Arial"/>
          <w:bCs/>
        </w:rPr>
        <w:t xml:space="preserve"> udzielane </w:t>
      </w:r>
      <w:proofErr w:type="spellStart"/>
      <w:r w:rsidR="00EE6487" w:rsidRPr="00664B7D">
        <w:rPr>
          <w:rFonts w:eastAsia="Calibri" w:cs="Arial"/>
          <w:bCs/>
        </w:rPr>
        <w:t>Gr</w:t>
      </w:r>
      <w:r w:rsidRPr="00664B7D">
        <w:rPr>
          <w:rFonts w:eastAsia="Calibri" w:cs="Arial"/>
          <w:bCs/>
        </w:rPr>
        <w:t>antobiorcom</w:t>
      </w:r>
      <w:proofErr w:type="spellEnd"/>
      <w:r w:rsidRPr="00664B7D">
        <w:rPr>
          <w:rFonts w:eastAsia="Calibri" w:cs="Arial"/>
          <w:bCs/>
        </w:rPr>
        <w:t xml:space="preserve"> wybranym w drodze otwartego naboru</w:t>
      </w:r>
    </w:p>
    <w:p w14:paraId="136C4B1F" w14:textId="7261EB7A" w:rsidR="00983651" w:rsidRPr="00664B7D" w:rsidRDefault="004D49ED" w:rsidP="00EC7D19">
      <w:pPr>
        <w:tabs>
          <w:tab w:val="center" w:pos="4536"/>
          <w:tab w:val="right" w:pos="9072"/>
        </w:tabs>
        <w:spacing w:before="40" w:after="40"/>
        <w:ind w:left="426" w:hanging="426"/>
        <w:rPr>
          <w:rFonts w:eastAsia="Calibri" w:cs="Arial"/>
          <w:bCs/>
        </w:rPr>
      </w:pPr>
      <w:r w:rsidRPr="00664B7D">
        <w:rPr>
          <w:rFonts w:eastAsia="Calibri" w:cs="Arial"/>
          <w:bCs/>
        </w:rPr>
        <w:t>ogłoszonego przez B</w:t>
      </w:r>
      <w:r w:rsidR="00983651" w:rsidRPr="00664B7D">
        <w:rPr>
          <w:rFonts w:eastAsia="Calibri" w:cs="Arial"/>
          <w:bCs/>
        </w:rPr>
        <w:t>eneficjenta w ramach realizacji projektu grantowego;</w:t>
      </w:r>
    </w:p>
    <w:p w14:paraId="25C28AB4" w14:textId="1324E383" w:rsidR="00983651" w:rsidRPr="00664B7D" w:rsidRDefault="00983651" w:rsidP="00EC7D19">
      <w:pPr>
        <w:numPr>
          <w:ilvl w:val="0"/>
          <w:numId w:val="4"/>
        </w:numPr>
        <w:tabs>
          <w:tab w:val="center" w:pos="4536"/>
          <w:tab w:val="right" w:pos="9072"/>
        </w:tabs>
        <w:spacing w:before="40" w:after="40"/>
        <w:ind w:left="426" w:hanging="426"/>
        <w:rPr>
          <w:rFonts w:eastAsia="Calibri" w:cs="Arial"/>
          <w:bCs/>
        </w:rPr>
      </w:pPr>
      <w:proofErr w:type="spellStart"/>
      <w:r w:rsidRPr="00664B7D">
        <w:rPr>
          <w:rFonts w:eastAsia="Calibri" w:cs="Arial"/>
          <w:b/>
          <w:bCs/>
        </w:rPr>
        <w:t>Grantobiorca</w:t>
      </w:r>
      <w:proofErr w:type="spellEnd"/>
      <w:r w:rsidRPr="00664B7D">
        <w:rPr>
          <w:rFonts w:eastAsia="Calibri" w:cs="Arial"/>
          <w:b/>
          <w:bCs/>
        </w:rPr>
        <w:t xml:space="preserve"> </w:t>
      </w:r>
      <w:r w:rsidRPr="00664B7D">
        <w:rPr>
          <w:rFonts w:eastAsia="Calibri" w:cs="Arial"/>
          <w:bCs/>
        </w:rPr>
        <w:t>- podmiot bezpośrednio korzystający ze wsparcia w ramach udzielonego grantu;</w:t>
      </w:r>
    </w:p>
    <w:p w14:paraId="6EAD9CB0" w14:textId="201441B6" w:rsidR="005F46E9" w:rsidRPr="00664B7D" w:rsidRDefault="00983651" w:rsidP="00EC7D19">
      <w:pPr>
        <w:pStyle w:val="Akapitzlist"/>
        <w:numPr>
          <w:ilvl w:val="0"/>
          <w:numId w:val="4"/>
        </w:numPr>
        <w:tabs>
          <w:tab w:val="center" w:pos="4536"/>
          <w:tab w:val="right" w:pos="9072"/>
        </w:tabs>
        <w:spacing w:before="40" w:after="0"/>
        <w:ind w:left="426" w:hanging="426"/>
        <w:rPr>
          <w:rFonts w:eastAsia="Calibri" w:cs="Arial"/>
          <w:bCs/>
        </w:rPr>
      </w:pPr>
      <w:r w:rsidRPr="00664B7D">
        <w:rPr>
          <w:rFonts w:eastAsia="Calibri" w:cs="Arial"/>
          <w:b/>
          <w:bCs/>
        </w:rPr>
        <w:t>Organizacje społeczeństwa obywatelskiego</w:t>
      </w:r>
      <w:r w:rsidRPr="00664B7D">
        <w:rPr>
          <w:rFonts w:eastAsia="Calibri" w:cs="Arial"/>
          <w:bCs/>
        </w:rPr>
        <w:t xml:space="preserve"> - </w:t>
      </w:r>
      <w:r w:rsidR="00A91BAA" w:rsidRPr="00664B7D">
        <w:rPr>
          <w:rFonts w:eastAsia="Calibri" w:cs="Arial"/>
          <w:bCs/>
        </w:rPr>
        <w:t>o</w:t>
      </w:r>
      <w:r w:rsidR="005F46E9" w:rsidRPr="00664B7D">
        <w:rPr>
          <w:rFonts w:eastAsia="Calibri" w:cs="Arial"/>
          <w:bCs/>
        </w:rPr>
        <w:t xml:space="preserve">rganizacja społeczeństwa obywatelskiego to podmiot spełniający następujące kryteria: </w:t>
      </w:r>
    </w:p>
    <w:p w14:paraId="33ADAA03" w14:textId="77A1F9A9" w:rsidR="005F46E9" w:rsidRPr="00664B7D" w:rsidRDefault="005F46E9" w:rsidP="00F15960">
      <w:pPr>
        <w:pStyle w:val="Akapitzlist"/>
        <w:numPr>
          <w:ilvl w:val="0"/>
          <w:numId w:val="52"/>
        </w:numPr>
        <w:tabs>
          <w:tab w:val="center" w:pos="4536"/>
          <w:tab w:val="right" w:pos="9072"/>
        </w:tabs>
        <w:spacing w:before="40" w:after="0"/>
        <w:ind w:left="426" w:hanging="426"/>
        <w:rPr>
          <w:rFonts w:eastAsia="Calibri" w:cs="Arial"/>
          <w:bCs/>
        </w:rPr>
      </w:pPr>
      <w:r w:rsidRPr="00664B7D">
        <w:rPr>
          <w:rFonts w:eastAsia="Calibri" w:cs="Arial"/>
          <w:bCs/>
        </w:rPr>
        <w:t>istnienie struktury organizacyjnej oraz formalna rejestracja</w:t>
      </w:r>
      <w:r w:rsidR="001F592E">
        <w:rPr>
          <w:rFonts w:eastAsia="Calibri" w:cs="Arial"/>
          <w:bCs/>
        </w:rPr>
        <w:t>,</w:t>
      </w:r>
    </w:p>
    <w:p w14:paraId="5C9B8AA9" w14:textId="1BF3B20C" w:rsidR="005F46E9" w:rsidRPr="00664B7D" w:rsidRDefault="005F46E9" w:rsidP="00EC7D19">
      <w:pPr>
        <w:pStyle w:val="Akapitzlist"/>
        <w:tabs>
          <w:tab w:val="center" w:pos="4536"/>
          <w:tab w:val="right" w:pos="9072"/>
        </w:tabs>
        <w:spacing w:after="0"/>
        <w:ind w:left="426" w:hanging="426"/>
        <w:rPr>
          <w:rFonts w:eastAsia="Calibri" w:cs="Arial"/>
          <w:bCs/>
        </w:rPr>
      </w:pPr>
      <w:r w:rsidRPr="00664B7D">
        <w:rPr>
          <w:rFonts w:eastAsia="Calibri" w:cs="Arial"/>
          <w:bCs/>
        </w:rPr>
        <w:t>2.</w:t>
      </w:r>
      <w:r w:rsidRPr="00664B7D">
        <w:rPr>
          <w:rFonts w:eastAsia="Calibri" w:cs="Arial"/>
          <w:bCs/>
        </w:rPr>
        <w:tab/>
        <w:t>strukturalna niezależność od władz publicznych (zwłaszcza w wymiarze organów założycielskich, kontroli udziałów czy nadzoru właścicielskiego)</w:t>
      </w:r>
      <w:r w:rsidR="001F592E">
        <w:rPr>
          <w:rFonts w:eastAsia="Calibri" w:cs="Arial"/>
          <w:bCs/>
        </w:rPr>
        <w:t>,</w:t>
      </w:r>
    </w:p>
    <w:p w14:paraId="0B9C5A13" w14:textId="6F022E54" w:rsidR="005F46E9" w:rsidRPr="00664B7D" w:rsidRDefault="005F46E9" w:rsidP="00EC7D19">
      <w:pPr>
        <w:pStyle w:val="Akapitzlist"/>
        <w:tabs>
          <w:tab w:val="center" w:pos="4536"/>
          <w:tab w:val="right" w:pos="9072"/>
        </w:tabs>
        <w:spacing w:after="0"/>
        <w:ind w:left="426" w:hanging="426"/>
        <w:rPr>
          <w:rFonts w:eastAsia="Calibri" w:cs="Arial"/>
          <w:bCs/>
        </w:rPr>
      </w:pPr>
      <w:r w:rsidRPr="00664B7D">
        <w:rPr>
          <w:rFonts w:eastAsia="Calibri" w:cs="Arial"/>
          <w:bCs/>
        </w:rPr>
        <w:lastRenderedPageBreak/>
        <w:t>3.</w:t>
      </w:r>
      <w:r w:rsidRPr="00664B7D">
        <w:rPr>
          <w:rFonts w:eastAsia="Calibri" w:cs="Arial"/>
          <w:bCs/>
        </w:rPr>
        <w:tab/>
        <w:t>niezarobkowy charakter organizacji</w:t>
      </w:r>
      <w:r w:rsidR="001F592E">
        <w:rPr>
          <w:rFonts w:eastAsia="Calibri" w:cs="Arial"/>
          <w:bCs/>
        </w:rPr>
        <w:t>,</w:t>
      </w:r>
    </w:p>
    <w:p w14:paraId="11EE6F6B" w14:textId="41B840A8" w:rsidR="005F46E9" w:rsidRPr="00664B7D" w:rsidRDefault="005F46E9" w:rsidP="00EC7D19">
      <w:pPr>
        <w:pStyle w:val="Akapitzlist"/>
        <w:tabs>
          <w:tab w:val="center" w:pos="4536"/>
          <w:tab w:val="right" w:pos="9072"/>
        </w:tabs>
        <w:spacing w:after="0"/>
        <w:ind w:left="426" w:hanging="426"/>
      </w:pPr>
      <w:r w:rsidRPr="00664B7D">
        <w:rPr>
          <w:rFonts w:eastAsia="Calibri" w:cs="Arial"/>
          <w:bCs/>
        </w:rPr>
        <w:t>4.</w:t>
      </w:r>
      <w:r w:rsidRPr="00664B7D">
        <w:rPr>
          <w:rFonts w:eastAsia="Calibri" w:cs="Arial"/>
          <w:bCs/>
        </w:rPr>
        <w:tab/>
        <w:t>suwerenność i samorządność</w:t>
      </w:r>
      <w:r w:rsidR="001F592E">
        <w:rPr>
          <w:rFonts w:eastAsia="Calibri" w:cs="Arial"/>
          <w:bCs/>
        </w:rPr>
        <w:t>,</w:t>
      </w:r>
    </w:p>
    <w:p w14:paraId="7C222BBD" w14:textId="5843A305" w:rsidR="005F46E9" w:rsidRPr="00664B7D" w:rsidRDefault="005F46E9" w:rsidP="00EC7D19">
      <w:pPr>
        <w:pStyle w:val="Akapitzlist"/>
        <w:tabs>
          <w:tab w:val="center" w:pos="4536"/>
          <w:tab w:val="right" w:pos="9072"/>
        </w:tabs>
        <w:spacing w:after="0"/>
        <w:ind w:left="426" w:hanging="426"/>
      </w:pPr>
      <w:r w:rsidRPr="00664B7D">
        <w:rPr>
          <w:rFonts w:eastAsia="Calibri" w:cs="Arial"/>
          <w:bCs/>
        </w:rPr>
        <w:t>5.</w:t>
      </w:r>
      <w:r w:rsidRPr="00664B7D">
        <w:rPr>
          <w:rFonts w:eastAsia="Calibri" w:cs="Arial"/>
          <w:bCs/>
        </w:rPr>
        <w:tab/>
        <w:t>dobrowolność przynależności</w:t>
      </w:r>
      <w:r w:rsidR="00502B08" w:rsidRPr="00664B7D">
        <w:rPr>
          <w:rFonts w:eastAsia="Calibri" w:cs="Arial"/>
          <w:bCs/>
        </w:rPr>
        <w:t>;</w:t>
      </w:r>
    </w:p>
    <w:p w14:paraId="25A91D7E" w14:textId="6175F438" w:rsidR="005F46E9" w:rsidRPr="00664B7D" w:rsidRDefault="00983651" w:rsidP="00F15960">
      <w:pPr>
        <w:pStyle w:val="TreNum-K"/>
        <w:numPr>
          <w:ilvl w:val="0"/>
          <w:numId w:val="54"/>
        </w:numPr>
        <w:ind w:left="426" w:hanging="426"/>
        <w:rPr>
          <w:rFonts w:eastAsia="Calibri"/>
        </w:rPr>
      </w:pPr>
      <w:r w:rsidRPr="00664B7D">
        <w:rPr>
          <w:rFonts w:eastAsia="Calibri"/>
          <w:b/>
        </w:rPr>
        <w:t>P</w:t>
      </w:r>
      <w:r w:rsidR="00991E1B" w:rsidRPr="00664B7D">
        <w:rPr>
          <w:rFonts w:eastAsia="Calibri"/>
          <w:b/>
        </w:rPr>
        <w:t>artnerzy społeczni -</w:t>
      </w:r>
      <w:r w:rsidR="00991E1B" w:rsidRPr="00664B7D">
        <w:rPr>
          <w:rFonts w:eastAsia="Calibri"/>
          <w:bCs/>
        </w:rPr>
        <w:t xml:space="preserve"> </w:t>
      </w:r>
      <w:r w:rsidR="00A72C9A" w:rsidRPr="00664B7D">
        <w:rPr>
          <w:rFonts w:eastAsia="Calibri"/>
        </w:rPr>
        <w:t xml:space="preserve">organizacje związkowe i organizacje pracodawców. Jako organizacje partnerów społecznych należy rozumieć organizacje pracodawców i organizacje pracowników działające na podstawie jednej z następujących ustaw: ustawy z dnia 23 maja 1991 r. o organizacjach pracodawców, ustawy z dnia 22 marca 1989 r. </w:t>
      </w:r>
      <w:r w:rsidR="00EC7D19">
        <w:rPr>
          <w:rFonts w:eastAsia="Calibri"/>
        </w:rPr>
        <w:br/>
      </w:r>
      <w:r w:rsidR="00A72C9A" w:rsidRPr="00664B7D">
        <w:rPr>
          <w:rFonts w:eastAsia="Calibri"/>
        </w:rPr>
        <w:t xml:space="preserve">o rzemiośle albo ustawy z dnia 23 maja 1991 r. o związkach zawodowych, w tym </w:t>
      </w:r>
      <w:r w:rsidR="002834AA">
        <w:rPr>
          <w:rFonts w:eastAsia="Calibri"/>
        </w:rPr>
        <w:br/>
      </w:r>
      <w:r w:rsidR="00A72C9A" w:rsidRPr="00664B7D">
        <w:rPr>
          <w:rFonts w:eastAsia="Calibri"/>
        </w:rPr>
        <w:t xml:space="preserve">w szczególności: a) reprezentatywne organizacje pracodawców i pracowników </w:t>
      </w:r>
      <w:r w:rsidR="002834AA">
        <w:rPr>
          <w:rFonts w:eastAsia="Calibri"/>
        </w:rPr>
        <w:br/>
      </w:r>
      <w:r w:rsidR="00A72C9A" w:rsidRPr="00664B7D">
        <w:rPr>
          <w:rFonts w:eastAsia="Calibri"/>
        </w:rPr>
        <w:t xml:space="preserve">w rozumieniu ustawy z dnia 24 lipca 2015 r. o Radzie Dialogu Społecznego i innych instytucjach dialogu społecznego b) branżowe, ponadbranżowe lub regionalne organizacje pracodawców oraz branżowe, ponadbranżowe lub regionalne organizacje związkowe zrzeszone odpowiednio w reprezentatywnych organizacjach pracodawców </w:t>
      </w:r>
      <w:r w:rsidR="002834AA">
        <w:rPr>
          <w:rFonts w:eastAsia="Calibri"/>
        </w:rPr>
        <w:br/>
      </w:r>
      <w:r w:rsidR="00A72C9A" w:rsidRPr="00664B7D">
        <w:rPr>
          <w:rFonts w:eastAsia="Calibri"/>
        </w:rPr>
        <w:t>i w reprezentatywnych organizacjach związkowych w rozumieniu ustawy z dnia 24 lipca 2015 r. o Radzie Dialogu Społecznego i innych instytucjach dialogu społecznego.</w:t>
      </w:r>
      <w:r w:rsidR="00502B08" w:rsidRPr="00664B7D">
        <w:rPr>
          <w:rFonts w:eastAsia="Calibri"/>
        </w:rPr>
        <w:t>;</w:t>
      </w:r>
    </w:p>
    <w:p w14:paraId="78F605C5" w14:textId="1DDE3F65" w:rsidR="00983651" w:rsidRPr="00664B7D" w:rsidRDefault="00983651" w:rsidP="00F15960">
      <w:pPr>
        <w:pStyle w:val="Akapitzlist"/>
        <w:numPr>
          <w:ilvl w:val="0"/>
          <w:numId w:val="53"/>
        </w:numPr>
        <w:tabs>
          <w:tab w:val="left" w:pos="709"/>
          <w:tab w:val="center" w:pos="4536"/>
          <w:tab w:val="right" w:pos="9072"/>
        </w:tabs>
        <w:spacing w:after="0"/>
        <w:ind w:left="426" w:hanging="426"/>
        <w:rPr>
          <w:rFonts w:cs="Arial"/>
        </w:rPr>
      </w:pPr>
      <w:r w:rsidRPr="00664B7D">
        <w:rPr>
          <w:rFonts w:cs="Arial"/>
          <w:b/>
          <w:bCs/>
        </w:rPr>
        <w:t>Projekt grantowy</w:t>
      </w:r>
      <w:r w:rsidRPr="00664B7D">
        <w:rPr>
          <w:rFonts w:cs="Arial"/>
        </w:rPr>
        <w:t xml:space="preserve"> - </w:t>
      </w:r>
      <w:r w:rsidR="004D49ED" w:rsidRPr="00664B7D">
        <w:rPr>
          <w:rFonts w:eastAsia="Calibri" w:cs="Arial"/>
          <w:bCs/>
        </w:rPr>
        <w:t>projekt, którego B</w:t>
      </w:r>
      <w:r w:rsidR="00EE6487" w:rsidRPr="00664B7D">
        <w:rPr>
          <w:rFonts w:eastAsia="Calibri" w:cs="Arial"/>
          <w:bCs/>
        </w:rPr>
        <w:t xml:space="preserve">eneficjent przekazuje </w:t>
      </w:r>
      <w:proofErr w:type="spellStart"/>
      <w:r w:rsidR="00EE6487" w:rsidRPr="00664B7D">
        <w:rPr>
          <w:rFonts w:eastAsia="Calibri" w:cs="Arial"/>
          <w:bCs/>
        </w:rPr>
        <w:t>G</w:t>
      </w:r>
      <w:r w:rsidRPr="00664B7D">
        <w:rPr>
          <w:rFonts w:eastAsia="Calibri" w:cs="Arial"/>
          <w:bCs/>
        </w:rPr>
        <w:t>rantobiorcom</w:t>
      </w:r>
      <w:proofErr w:type="spellEnd"/>
      <w:r w:rsidRPr="00664B7D">
        <w:rPr>
          <w:rFonts w:eastAsia="Calibri" w:cs="Arial"/>
          <w:bCs/>
        </w:rPr>
        <w:t xml:space="preserve"> środki finansowe projektu w formie grantów na realizację zadań służących osiągnięciu celu tego projektu. Zasady realizacji projektów grantowych określa art. 41 ustawy wdrożeniowej.</w:t>
      </w:r>
    </w:p>
    <w:p w14:paraId="6AA8C34F" w14:textId="77777777" w:rsidR="004451E6" w:rsidRDefault="004451E6">
      <w:pPr>
        <w:spacing w:line="259" w:lineRule="auto"/>
        <w:rPr>
          <w:rFonts w:eastAsia="Calibri" w:cs="Arial"/>
          <w:b/>
          <w:sz w:val="24"/>
          <w:szCs w:val="24"/>
        </w:rPr>
      </w:pPr>
      <w:bookmarkStart w:id="2" w:name="_Toc134446790"/>
      <w:r>
        <w:br w:type="page"/>
      </w:r>
    </w:p>
    <w:p w14:paraId="27B36010" w14:textId="316AD637" w:rsidR="005448A6" w:rsidRPr="00664B7D" w:rsidRDefault="005448A6" w:rsidP="004451E6">
      <w:pPr>
        <w:pStyle w:val="Rozdzia-K"/>
      </w:pPr>
      <w:bookmarkStart w:id="3" w:name="_Toc145936706"/>
      <w:r w:rsidRPr="00664B7D">
        <w:lastRenderedPageBreak/>
        <w:t>Informacje ogólne</w:t>
      </w:r>
      <w:bookmarkEnd w:id="3"/>
      <w:r w:rsidR="00CC3129" w:rsidRPr="00664B7D">
        <w:t xml:space="preserve"> </w:t>
      </w:r>
    </w:p>
    <w:p w14:paraId="277918FC" w14:textId="77777777" w:rsidR="005448A6" w:rsidRPr="00664B7D" w:rsidRDefault="005448A6" w:rsidP="00B310B6">
      <w:pPr>
        <w:pStyle w:val="Podrozdzia-K"/>
      </w:pPr>
      <w:bookmarkStart w:id="4" w:name="_Toc145936707"/>
      <w:r w:rsidRPr="00664B7D">
        <w:t>Regulamin wyboru projektów</w:t>
      </w:r>
      <w:bookmarkEnd w:id="4"/>
    </w:p>
    <w:p w14:paraId="6BC046D9" w14:textId="6A17B163" w:rsidR="005448A6" w:rsidRPr="00664B7D" w:rsidRDefault="00864967" w:rsidP="008144F9">
      <w:pPr>
        <w:numPr>
          <w:ilvl w:val="0"/>
          <w:numId w:val="7"/>
        </w:numPr>
        <w:autoSpaceDE w:val="0"/>
        <w:autoSpaceDN w:val="0"/>
        <w:adjustRightInd w:val="0"/>
        <w:spacing w:after="0"/>
        <w:ind w:left="426" w:hanging="426"/>
        <w:rPr>
          <w:rFonts w:cs="Arial"/>
        </w:rPr>
      </w:pPr>
      <w:r w:rsidRPr="00664B7D">
        <w:rPr>
          <w:rFonts w:cs="Arial"/>
        </w:rPr>
        <w:t>Celem niniejszego R</w:t>
      </w:r>
      <w:r w:rsidR="005448A6" w:rsidRPr="00664B7D">
        <w:rPr>
          <w:rFonts w:cs="Arial"/>
        </w:rPr>
        <w:t>egulaminu wybo</w:t>
      </w:r>
      <w:r w:rsidR="003B1FFE" w:rsidRPr="00664B7D">
        <w:rPr>
          <w:rFonts w:cs="Arial"/>
        </w:rPr>
        <w:t>ru projektów jest dostarczenie W</w:t>
      </w:r>
      <w:r w:rsidR="005448A6" w:rsidRPr="00664B7D">
        <w:rPr>
          <w:rFonts w:cs="Arial"/>
        </w:rPr>
        <w:t xml:space="preserve">nioskodawcy informacji niezbędnych do przygotowywania wniosku o dofinansowanie projektu, </w:t>
      </w:r>
      <w:r w:rsidR="00AD6C1C">
        <w:rPr>
          <w:rFonts w:cs="Arial"/>
        </w:rPr>
        <w:br/>
      </w:r>
      <w:r w:rsidR="005448A6" w:rsidRPr="00664B7D">
        <w:rPr>
          <w:rFonts w:cs="Arial"/>
        </w:rPr>
        <w:t xml:space="preserve">a następnie jego złożenia do oceny w ramach naboru niekonkurencyjnego </w:t>
      </w:r>
      <w:r w:rsidR="00AD6C1C">
        <w:rPr>
          <w:rFonts w:cs="Arial"/>
        </w:rPr>
        <w:br/>
      </w:r>
      <w:r w:rsidR="005448A6" w:rsidRPr="00664B7D">
        <w:rPr>
          <w:rFonts w:cs="Arial"/>
        </w:rPr>
        <w:t xml:space="preserve">nr </w:t>
      </w:r>
      <w:r w:rsidR="00405E70" w:rsidRPr="00664B7D">
        <w:rPr>
          <w:rFonts w:cs="Arial"/>
          <w:color w:val="000000"/>
        </w:rPr>
        <w:t>FEWM.06.05-IZ.00-003/23</w:t>
      </w:r>
      <w:r w:rsidR="00405E70" w:rsidRPr="00664B7D">
        <w:rPr>
          <w:rFonts w:cs="Arial"/>
          <w:b/>
          <w:color w:val="000000"/>
        </w:rPr>
        <w:t xml:space="preserve"> </w:t>
      </w:r>
      <w:r w:rsidR="005448A6" w:rsidRPr="00664B7D">
        <w:rPr>
          <w:rFonts w:cs="Arial"/>
        </w:rPr>
        <w:t>ogłoszonego przez Urząd Marszałkowski Województwa Warmińsko-Mazurskiego.</w:t>
      </w:r>
    </w:p>
    <w:p w14:paraId="4A6AE1BA" w14:textId="77777777" w:rsidR="005448A6" w:rsidRPr="00664B7D" w:rsidRDefault="005448A6" w:rsidP="008144F9">
      <w:pPr>
        <w:numPr>
          <w:ilvl w:val="0"/>
          <w:numId w:val="7"/>
        </w:numPr>
        <w:autoSpaceDE w:val="0"/>
        <w:autoSpaceDN w:val="0"/>
        <w:adjustRightInd w:val="0"/>
        <w:spacing w:after="0"/>
        <w:ind w:left="426" w:hanging="426"/>
        <w:rPr>
          <w:rFonts w:cs="Arial"/>
        </w:rPr>
      </w:pPr>
      <w:r w:rsidRPr="00664B7D">
        <w:rPr>
          <w:rFonts w:cs="Arial"/>
        </w:rPr>
        <w:t xml:space="preserve">Instytucją Zarządzającą </w:t>
      </w:r>
      <w:proofErr w:type="spellStart"/>
      <w:r w:rsidRPr="00664B7D">
        <w:rPr>
          <w:rFonts w:cs="Arial"/>
        </w:rPr>
        <w:t>FEWiM</w:t>
      </w:r>
      <w:proofErr w:type="spellEnd"/>
      <w:r w:rsidRPr="00664B7D">
        <w:rPr>
          <w:rFonts w:cs="Arial"/>
        </w:rPr>
        <w:t xml:space="preserve"> 2021-2027 (zwaną dalej IZ) jest Zarząd Województwa Warmińsko-Mazurskiego z siedzibą w Olsztynie przy ul. E. Plater 1, 10-562 Olsztyn, pełniący jednocześnie funkcję Instytucji Organizującej Nabór (zwanej dalej ION).</w:t>
      </w:r>
    </w:p>
    <w:p w14:paraId="01626FD2" w14:textId="006062F1" w:rsidR="005448A6" w:rsidRPr="00664B7D" w:rsidRDefault="005448A6" w:rsidP="008144F9">
      <w:pPr>
        <w:numPr>
          <w:ilvl w:val="0"/>
          <w:numId w:val="7"/>
        </w:numPr>
        <w:autoSpaceDE w:val="0"/>
        <w:autoSpaceDN w:val="0"/>
        <w:adjustRightInd w:val="0"/>
        <w:spacing w:after="0"/>
        <w:ind w:left="426" w:hanging="426"/>
        <w:rPr>
          <w:rFonts w:cs="Arial"/>
        </w:rPr>
      </w:pPr>
      <w:r w:rsidRPr="00664B7D">
        <w:rPr>
          <w:rFonts w:cs="Arial"/>
        </w:rPr>
        <w:t>ION zastrzega sobie prawo do w</w:t>
      </w:r>
      <w:r w:rsidR="00864967" w:rsidRPr="00664B7D">
        <w:rPr>
          <w:rFonts w:cs="Arial"/>
        </w:rPr>
        <w:t>prowadzania zmian w niniejszym R</w:t>
      </w:r>
      <w:r w:rsidRPr="00664B7D">
        <w:rPr>
          <w:rFonts w:cs="Arial"/>
        </w:rPr>
        <w:t>egulaminie w trakcie trwania naboru, jeśli będzie to konieczne i uzasadnione.</w:t>
      </w:r>
    </w:p>
    <w:p w14:paraId="38687733" w14:textId="7B993C3F" w:rsidR="005448A6" w:rsidRDefault="00864967" w:rsidP="008144F9">
      <w:pPr>
        <w:numPr>
          <w:ilvl w:val="0"/>
          <w:numId w:val="7"/>
        </w:numPr>
        <w:autoSpaceDE w:val="0"/>
        <w:autoSpaceDN w:val="0"/>
        <w:adjustRightInd w:val="0"/>
        <w:spacing w:after="0"/>
        <w:ind w:left="426" w:hanging="426"/>
        <w:rPr>
          <w:rFonts w:cs="Arial"/>
        </w:rPr>
      </w:pPr>
      <w:r w:rsidRPr="00664B7D">
        <w:rPr>
          <w:rFonts w:cs="Arial"/>
        </w:rPr>
        <w:t>W przypadku zmiany R</w:t>
      </w:r>
      <w:r w:rsidR="005448A6" w:rsidRPr="00664B7D">
        <w:rPr>
          <w:rFonts w:cs="Arial"/>
        </w:rPr>
        <w:t>egulaminu ION powiadamia Wnioskodawcę o wprowadzonej zmianie.</w:t>
      </w:r>
    </w:p>
    <w:p w14:paraId="5508FC18" w14:textId="77777777" w:rsidR="00CA42DC" w:rsidRPr="00664B7D" w:rsidRDefault="00CA42DC" w:rsidP="00CA42DC">
      <w:pPr>
        <w:numPr>
          <w:ilvl w:val="0"/>
          <w:numId w:val="7"/>
        </w:numPr>
        <w:autoSpaceDE w:val="0"/>
        <w:autoSpaceDN w:val="0"/>
        <w:adjustRightInd w:val="0"/>
        <w:spacing w:after="0"/>
        <w:ind w:left="426" w:hanging="426"/>
        <w:rPr>
          <w:rFonts w:cs="Arial"/>
        </w:rPr>
      </w:pPr>
      <w:r>
        <w:rPr>
          <w:rFonts w:cs="Arial"/>
        </w:rPr>
        <w:t>Tryb i sposób wprowadzania zmian określony został w art. 51 ust. 3-8 ustawy wdrożeniowej.</w:t>
      </w:r>
    </w:p>
    <w:p w14:paraId="1AB1A3F1" w14:textId="77777777" w:rsidR="005448A6" w:rsidRPr="00CA42DC" w:rsidRDefault="005448A6" w:rsidP="00CA42DC">
      <w:pPr>
        <w:numPr>
          <w:ilvl w:val="0"/>
          <w:numId w:val="7"/>
        </w:numPr>
        <w:autoSpaceDE w:val="0"/>
        <w:autoSpaceDN w:val="0"/>
        <w:adjustRightInd w:val="0"/>
        <w:spacing w:after="0"/>
        <w:ind w:left="426" w:hanging="426"/>
        <w:rPr>
          <w:rFonts w:cs="Arial"/>
        </w:rPr>
      </w:pPr>
      <w:r w:rsidRPr="00CA42DC">
        <w:rPr>
          <w:rFonts w:cs="Arial"/>
          <w:bCs/>
        </w:rPr>
        <w:t>Terminy wskazane w niniejszym dokumencie obliczane są w następujący sposób:</w:t>
      </w:r>
    </w:p>
    <w:p w14:paraId="2BEB0D46" w14:textId="09D49940" w:rsidR="005448A6" w:rsidRPr="00664B7D" w:rsidRDefault="008144F9" w:rsidP="008144F9">
      <w:pPr>
        <w:spacing w:after="0"/>
        <w:ind w:left="426" w:hanging="284"/>
        <w:rPr>
          <w:rFonts w:cs="Arial"/>
          <w:bCs/>
        </w:rPr>
      </w:pPr>
      <w:r w:rsidRPr="00664B7D">
        <w:rPr>
          <w:rFonts w:cs="Arial"/>
          <w:bCs/>
        </w:rPr>
        <w:t>-</w:t>
      </w:r>
      <w:r w:rsidRPr="00664B7D">
        <w:rPr>
          <w:rFonts w:cs="Arial"/>
          <w:bCs/>
        </w:rPr>
        <w:tab/>
        <w:t>j</w:t>
      </w:r>
      <w:r w:rsidR="005448A6" w:rsidRPr="00664B7D">
        <w:rPr>
          <w:rFonts w:cs="Arial"/>
          <w:bCs/>
        </w:rPr>
        <w:t xml:space="preserve">eżeli początkiem terminu określonego w dniach jest pewne zdarzenie, przy obliczaniu tego terminu nie uwzględnia się dnia, w którym zdarzenie nastąpiło. Upływ ostatniego </w:t>
      </w:r>
      <w:r w:rsidR="003B6BC4" w:rsidRPr="00664B7D">
        <w:rPr>
          <w:rFonts w:cs="Arial"/>
          <w:bCs/>
        </w:rPr>
        <w:br/>
      </w:r>
      <w:r w:rsidR="005448A6" w:rsidRPr="00664B7D">
        <w:rPr>
          <w:rFonts w:cs="Arial"/>
          <w:bCs/>
        </w:rPr>
        <w:t>z wyznaczonej liczby dni uważa się za koniec terminu.</w:t>
      </w:r>
    </w:p>
    <w:p w14:paraId="03EB46E3" w14:textId="0526F12C" w:rsidR="00CA42DC" w:rsidRDefault="008144F9" w:rsidP="00CA42DC">
      <w:pPr>
        <w:spacing w:after="0"/>
        <w:ind w:left="426" w:hanging="284"/>
        <w:rPr>
          <w:rFonts w:cs="Arial"/>
          <w:bCs/>
        </w:rPr>
      </w:pPr>
      <w:r w:rsidRPr="00664B7D">
        <w:rPr>
          <w:rFonts w:cs="Arial"/>
          <w:bCs/>
        </w:rPr>
        <w:t>-</w:t>
      </w:r>
      <w:r w:rsidRPr="00664B7D">
        <w:rPr>
          <w:rFonts w:cs="Arial"/>
          <w:bCs/>
        </w:rPr>
        <w:tab/>
        <w:t>j</w:t>
      </w:r>
      <w:r w:rsidR="005448A6" w:rsidRPr="00664B7D">
        <w:rPr>
          <w:rFonts w:cs="Arial"/>
          <w:bCs/>
        </w:rPr>
        <w:t xml:space="preserve">eżeli koniec terminu do wykonania czynności przypada na dzień uznany ustawowo </w:t>
      </w:r>
      <w:r w:rsidR="002834AA">
        <w:rPr>
          <w:rFonts w:cs="Arial"/>
          <w:bCs/>
        </w:rPr>
        <w:br/>
      </w:r>
      <w:r w:rsidR="005448A6" w:rsidRPr="00664B7D">
        <w:rPr>
          <w:rFonts w:cs="Arial"/>
          <w:bCs/>
        </w:rPr>
        <w:t>za wolny od pracy lub na sobotę, termin upływa następnego dnia, który nie jest dniem wolnym od pracy ani sobotą.</w:t>
      </w:r>
    </w:p>
    <w:p w14:paraId="1DC4F9B8" w14:textId="74859901" w:rsidR="005448A6" w:rsidRPr="00CA42DC" w:rsidRDefault="00CA42DC" w:rsidP="00CA42DC">
      <w:pPr>
        <w:spacing w:after="0"/>
        <w:ind w:left="426" w:hanging="284"/>
        <w:rPr>
          <w:rFonts w:cs="Arial"/>
          <w:bCs/>
        </w:rPr>
      </w:pPr>
      <w:r>
        <w:rPr>
          <w:rFonts w:cs="Arial"/>
          <w:bCs/>
        </w:rPr>
        <w:t xml:space="preserve">7. </w:t>
      </w:r>
      <w:r w:rsidR="000B53A7">
        <w:rPr>
          <w:rFonts w:cs="Arial"/>
          <w:bCs/>
        </w:rPr>
        <w:tab/>
      </w:r>
      <w:r w:rsidR="005448A6" w:rsidRPr="00664B7D">
        <w:rPr>
          <w:rFonts w:cs="Arial"/>
          <w:bCs/>
        </w:rPr>
        <w:t>Ilekroć w niniejszym dokumencie wskazuje się liczbę dni, mowa jest o dniach kalendarzowych.</w:t>
      </w:r>
    </w:p>
    <w:p w14:paraId="28ACCA02" w14:textId="77777777" w:rsidR="00A50A66" w:rsidRPr="00664B7D" w:rsidRDefault="00A50A66" w:rsidP="00CB47F8">
      <w:pPr>
        <w:pStyle w:val="Podrozdzia-K"/>
      </w:pPr>
      <w:bookmarkStart w:id="5" w:name="_Toc145936708"/>
      <w:r w:rsidRPr="00CB47F8">
        <w:t>Podstawa</w:t>
      </w:r>
      <w:r w:rsidRPr="00664B7D">
        <w:t xml:space="preserve"> </w:t>
      </w:r>
      <w:r w:rsidRPr="00B310B6">
        <w:t>prawna</w:t>
      </w:r>
      <w:r w:rsidRPr="00664B7D">
        <w:t xml:space="preserve"> i dokumenty programowe</w:t>
      </w:r>
      <w:bookmarkEnd w:id="2"/>
      <w:bookmarkEnd w:id="5"/>
    </w:p>
    <w:p w14:paraId="07CE711E" w14:textId="77777777" w:rsidR="00A50A66" w:rsidRPr="00664B7D" w:rsidRDefault="00A50A66" w:rsidP="00B310B6">
      <w:pPr>
        <w:pStyle w:val="Nagwek-K"/>
      </w:pPr>
      <w:r w:rsidRPr="00664B7D">
        <w:t>Dokumenty programowe:</w:t>
      </w:r>
    </w:p>
    <w:p w14:paraId="15D63CD4" w14:textId="77777777" w:rsidR="00A50A66" w:rsidRPr="00664B7D" w:rsidRDefault="00A50A66" w:rsidP="00F15960">
      <w:pPr>
        <w:numPr>
          <w:ilvl w:val="0"/>
          <w:numId w:val="30"/>
        </w:numPr>
        <w:autoSpaceDE w:val="0"/>
        <w:autoSpaceDN w:val="0"/>
        <w:adjustRightInd w:val="0"/>
        <w:spacing w:after="0"/>
        <w:rPr>
          <w:rFonts w:cs="Arial"/>
        </w:rPr>
      </w:pPr>
      <w:r w:rsidRPr="00664B7D">
        <w:rPr>
          <w:rFonts w:cs="Arial"/>
        </w:rPr>
        <w:t xml:space="preserve">Umowa partnerstwa dla realizacji polityki spójności 2021-2027 w Polsce z 30 czerwca 2022 r.; </w:t>
      </w:r>
    </w:p>
    <w:p w14:paraId="56E85BF1" w14:textId="77777777" w:rsidR="00A50A66" w:rsidRPr="00664B7D" w:rsidRDefault="00A50A66" w:rsidP="00F15960">
      <w:pPr>
        <w:numPr>
          <w:ilvl w:val="0"/>
          <w:numId w:val="30"/>
        </w:numPr>
        <w:autoSpaceDE w:val="0"/>
        <w:autoSpaceDN w:val="0"/>
        <w:adjustRightInd w:val="0"/>
        <w:spacing w:after="0"/>
        <w:rPr>
          <w:rFonts w:cs="Arial"/>
        </w:rPr>
      </w:pPr>
      <w:r w:rsidRPr="00664B7D">
        <w:rPr>
          <w:rFonts w:cs="Arial"/>
        </w:rPr>
        <w:t>Program Fundusze Europejskie dla Warmii i Mazur (</w:t>
      </w:r>
      <w:proofErr w:type="spellStart"/>
      <w:r w:rsidRPr="00664B7D">
        <w:rPr>
          <w:rFonts w:cs="Arial"/>
        </w:rPr>
        <w:t>FEWiM</w:t>
      </w:r>
      <w:proofErr w:type="spellEnd"/>
      <w:r w:rsidRPr="00664B7D">
        <w:rPr>
          <w:rFonts w:cs="Arial"/>
        </w:rPr>
        <w:t>) 2021-2027 z grudnia 2022 r.;</w:t>
      </w:r>
    </w:p>
    <w:p w14:paraId="2B1C1EF8" w14:textId="26D7EC99" w:rsidR="00A50A66" w:rsidRPr="00664B7D" w:rsidRDefault="00A50A66" w:rsidP="00F15960">
      <w:pPr>
        <w:numPr>
          <w:ilvl w:val="0"/>
          <w:numId w:val="30"/>
        </w:numPr>
        <w:autoSpaceDE w:val="0"/>
        <w:autoSpaceDN w:val="0"/>
        <w:adjustRightInd w:val="0"/>
        <w:spacing w:after="0"/>
        <w:rPr>
          <w:rFonts w:cs="Arial"/>
        </w:rPr>
      </w:pPr>
      <w:r w:rsidRPr="00664B7D">
        <w:rPr>
          <w:rFonts w:cs="Arial"/>
        </w:rPr>
        <w:t>Szczegółowy Opis Priorytetów Programu Fundusze Europejskie dla Warmii i Mazur (</w:t>
      </w:r>
      <w:proofErr w:type="spellStart"/>
      <w:r w:rsidRPr="00664B7D">
        <w:rPr>
          <w:rFonts w:cs="Arial"/>
        </w:rPr>
        <w:t>FEWiM</w:t>
      </w:r>
      <w:proofErr w:type="spellEnd"/>
      <w:r w:rsidRPr="00664B7D">
        <w:rPr>
          <w:rFonts w:cs="Arial"/>
        </w:rPr>
        <w:t xml:space="preserve">) 2021-2027, przyjęty przez Zarząd Województwa Warmińsko-Mazurskiego </w:t>
      </w:r>
      <w:r w:rsidR="00700AB1" w:rsidRPr="00664B7D">
        <w:rPr>
          <w:rFonts w:cs="Arial"/>
        </w:rPr>
        <w:br/>
      </w:r>
      <w:r w:rsidR="00700AB1" w:rsidRPr="00664B7D">
        <w:t>14 sierpnia</w:t>
      </w:r>
      <w:r w:rsidR="00405E70" w:rsidRPr="00664B7D">
        <w:t xml:space="preserve"> 2023 r.;</w:t>
      </w:r>
    </w:p>
    <w:p w14:paraId="70DCD194" w14:textId="41FEDCE2" w:rsidR="00A50A66" w:rsidRPr="00664B7D" w:rsidRDefault="00A50A66" w:rsidP="00F15960">
      <w:pPr>
        <w:numPr>
          <w:ilvl w:val="0"/>
          <w:numId w:val="30"/>
        </w:numPr>
        <w:autoSpaceDE w:val="0"/>
        <w:autoSpaceDN w:val="0"/>
        <w:adjustRightInd w:val="0"/>
        <w:spacing w:after="0"/>
        <w:rPr>
          <w:rFonts w:cs="Arial"/>
        </w:rPr>
      </w:pPr>
      <w:r w:rsidRPr="00664B7D">
        <w:rPr>
          <w:rFonts w:cs="Arial"/>
        </w:rPr>
        <w:lastRenderedPageBreak/>
        <w:t xml:space="preserve">Ocena zgodności projektu programu regionalnego na lata 2021-2027 Fundusze Europejskie dla Warmii i Mazur z zasadą „do no </w:t>
      </w:r>
      <w:proofErr w:type="spellStart"/>
      <w:r w:rsidRPr="00664B7D">
        <w:rPr>
          <w:rFonts w:cs="Arial"/>
        </w:rPr>
        <w:t>significant</w:t>
      </w:r>
      <w:proofErr w:type="spellEnd"/>
      <w:r w:rsidRPr="00664B7D">
        <w:rPr>
          <w:rFonts w:cs="Arial"/>
        </w:rPr>
        <w:t xml:space="preserve"> </w:t>
      </w:r>
      <w:proofErr w:type="spellStart"/>
      <w:r w:rsidRPr="00664B7D">
        <w:rPr>
          <w:rFonts w:cs="Arial"/>
        </w:rPr>
        <w:t>harm</w:t>
      </w:r>
      <w:proofErr w:type="spellEnd"/>
      <w:r w:rsidRPr="00664B7D">
        <w:rPr>
          <w:rFonts w:cs="Arial"/>
        </w:rPr>
        <w:t>” (DNSH)</w:t>
      </w:r>
      <w:r w:rsidRPr="00664B7D">
        <w:rPr>
          <w:rFonts w:asciiTheme="minorHAnsi" w:eastAsiaTheme="minorEastAsia" w:hAnsiTheme="minorHAnsi" w:cstheme="minorHAnsi"/>
          <w:i/>
        </w:rPr>
        <w:t xml:space="preserve"> </w:t>
      </w:r>
      <w:r w:rsidRPr="00664B7D">
        <w:rPr>
          <w:rFonts w:cs="Arial"/>
          <w:iCs/>
        </w:rPr>
        <w:t xml:space="preserve">), </w:t>
      </w:r>
      <w:r w:rsidR="002834AA">
        <w:rPr>
          <w:rFonts w:cs="Arial"/>
          <w:iCs/>
        </w:rPr>
        <w:br/>
      </w:r>
      <w:r w:rsidRPr="00664B7D">
        <w:rPr>
          <w:rFonts w:cs="Arial"/>
          <w:iCs/>
        </w:rPr>
        <w:t>czyli „nie czyń poważnych szkód”</w:t>
      </w:r>
      <w:r w:rsidRPr="00664B7D">
        <w:rPr>
          <w:rFonts w:cs="Arial"/>
        </w:rPr>
        <w:t xml:space="preserve">. </w:t>
      </w:r>
    </w:p>
    <w:p w14:paraId="5888AF4B" w14:textId="696C90E8" w:rsidR="00692B25" w:rsidRPr="00664B7D" w:rsidRDefault="003F4485" w:rsidP="00F15960">
      <w:pPr>
        <w:numPr>
          <w:ilvl w:val="0"/>
          <w:numId w:val="30"/>
        </w:numPr>
        <w:autoSpaceDE w:val="0"/>
        <w:autoSpaceDN w:val="0"/>
        <w:adjustRightInd w:val="0"/>
        <w:spacing w:after="0"/>
        <w:rPr>
          <w:rFonts w:cs="Arial"/>
        </w:rPr>
      </w:pPr>
      <w:r w:rsidRPr="00664B7D">
        <w:rPr>
          <w:rFonts w:cs="Arial"/>
        </w:rPr>
        <w:t>Podręcznik W</w:t>
      </w:r>
      <w:r w:rsidR="004D49ED" w:rsidRPr="00664B7D">
        <w:rPr>
          <w:rFonts w:cs="Arial"/>
        </w:rPr>
        <w:t>nioskodawcy i B</w:t>
      </w:r>
      <w:r w:rsidR="00692B25" w:rsidRPr="00664B7D">
        <w:rPr>
          <w:rFonts w:cs="Arial"/>
        </w:rPr>
        <w:t xml:space="preserve">eneficjenta Funduszy Europejskich na lata 2021-2027 </w:t>
      </w:r>
      <w:r w:rsidR="002834AA">
        <w:rPr>
          <w:rFonts w:cs="Arial"/>
        </w:rPr>
        <w:br/>
      </w:r>
      <w:r w:rsidR="00692B25" w:rsidRPr="00664B7D">
        <w:rPr>
          <w:rFonts w:cs="Arial"/>
        </w:rPr>
        <w:t>w zakresie informacji i promocji, maj 2023</w:t>
      </w:r>
      <w:r w:rsidR="00502B08" w:rsidRPr="00664B7D">
        <w:rPr>
          <w:rFonts w:cs="Arial"/>
        </w:rPr>
        <w:t xml:space="preserve"> </w:t>
      </w:r>
      <w:r w:rsidR="00692B25" w:rsidRPr="00664B7D">
        <w:rPr>
          <w:rFonts w:cs="Arial"/>
        </w:rPr>
        <w:t>r.</w:t>
      </w:r>
    </w:p>
    <w:p w14:paraId="62611186" w14:textId="77777777" w:rsidR="00A50A66" w:rsidRPr="00664B7D" w:rsidRDefault="00A50A66" w:rsidP="00B310B6">
      <w:pPr>
        <w:pStyle w:val="Nagwek-K"/>
      </w:pPr>
      <w:r w:rsidRPr="00664B7D">
        <w:t>Akty prawne:</w:t>
      </w:r>
    </w:p>
    <w:p w14:paraId="40EA3E23" w14:textId="77777777" w:rsidR="00A50A66" w:rsidRPr="00664B7D" w:rsidRDefault="00A50A66" w:rsidP="001C3CAC">
      <w:pPr>
        <w:numPr>
          <w:ilvl w:val="0"/>
          <w:numId w:val="9"/>
        </w:numPr>
        <w:autoSpaceDE w:val="0"/>
        <w:autoSpaceDN w:val="0"/>
        <w:adjustRightInd w:val="0"/>
        <w:spacing w:after="0"/>
        <w:rPr>
          <w:rFonts w:cs="Arial"/>
        </w:rPr>
      </w:pPr>
      <w:bookmarkStart w:id="6" w:name="_Toc417632190"/>
      <w:bookmarkStart w:id="7" w:name="_Toc427073601"/>
      <w:bookmarkStart w:id="8" w:name="_Toc427236062"/>
      <w:bookmarkStart w:id="9" w:name="_Toc427236851"/>
      <w:r w:rsidRPr="00664B7D">
        <w:rPr>
          <w:rFonts w:cs="Arial"/>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755E933D"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Rozporządzenie Parlamentu Europejskiego i Rady (UE) 2021/1057 z dnia 24 czerwca 2021r. ustanawiające Europejski Fundusz Społeczny Plus (EFS+) oraz uchylające rozporządzenie (UE) nr 1296/2013, zwanego dalej rozporządzeniem EFS+;</w:t>
      </w:r>
    </w:p>
    <w:p w14:paraId="484372C9"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5E976AF3"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71EED5A0"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Rozporządzenie Parlamentu Europejskiego i Rady (UE) 2020/852 z dnia 18 czerwca 2020 r. w sprawie ustanowienia ram ułatwiających zrównoważone inwestycje, zmieniające rozporządzenie (UE) 2019/2088;</w:t>
      </w:r>
    </w:p>
    <w:p w14:paraId="728643CC"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Rozporządzenie delegowane KE (UE) nr 240/2014 z dnia 7 stycznia 2014 r. w sprawie europejskiego kodeksu postępowania w zakresie partnerstwa w ramach europejskich funduszy strukturalnych i inwestycyjnych;</w:t>
      </w:r>
    </w:p>
    <w:p w14:paraId="23E3DFDF"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Rozporządzenie Parlamentu Europejskiego i Rady 2018/1046 z dnia 18 lipca 2018 r. w sprawie zasad finansowych mających zastosowanie do budżetu ogólnego Unii, zmieniające rozporządzenia (UE) nr 1296/2013, (UE) nr 1301/2013, (UE) nr 1303/2013, (UE) nr 1304/2013, (UE) nr 1309/2013, (UE) nr 1316/2013, (UE) nr 223/2014 i (UE) </w:t>
      </w:r>
      <w:r w:rsidRPr="00664B7D">
        <w:rPr>
          <w:rFonts w:cs="Arial"/>
        </w:rPr>
        <w:lastRenderedPageBreak/>
        <w:t xml:space="preserve">nr 283/2014 oraz decyzję nr 541/2014/UE, a także uchylające rozporządzenie (UE, </w:t>
      </w:r>
      <w:proofErr w:type="spellStart"/>
      <w:r w:rsidRPr="00664B7D">
        <w:rPr>
          <w:rFonts w:cs="Arial"/>
        </w:rPr>
        <w:t>Euratom</w:t>
      </w:r>
      <w:proofErr w:type="spellEnd"/>
      <w:r w:rsidRPr="00664B7D">
        <w:rPr>
          <w:rFonts w:cs="Arial"/>
        </w:rPr>
        <w:t>) nr 966/2012;</w:t>
      </w:r>
    </w:p>
    <w:p w14:paraId="7810441A"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Rozporządzenie Komisji (UE) nr 651/2014 z dnia 17 czerwca 2014 r. uznające niektóre rodzaje pomocy za zgodne z rynkiem wewnętrznym w zastosowaniu art. 107 i 108 Traktatu; </w:t>
      </w:r>
    </w:p>
    <w:p w14:paraId="23118E56"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Rozporządzenie Komisji (UE) nr 1407/2013 z dnia 18 grudnia 2013 r. w sprawie stosowania art.107 i 108 Traktatu o funkcjonowaniu Unii Europejskiej do pomocy de </w:t>
      </w:r>
      <w:proofErr w:type="spellStart"/>
      <w:r w:rsidRPr="00664B7D">
        <w:rPr>
          <w:rFonts w:cs="Arial"/>
        </w:rPr>
        <w:t>minimis</w:t>
      </w:r>
      <w:proofErr w:type="spellEnd"/>
      <w:r w:rsidRPr="00664B7D">
        <w:rPr>
          <w:rFonts w:cs="Arial"/>
        </w:rPr>
        <w:t>;</w:t>
      </w:r>
    </w:p>
    <w:p w14:paraId="738E3A80"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Rozporządzenie Rady UE (UE) NR 833/2014 z dnia 31 lipca 2014 r. dotyczące środków ograniczających w związku z działaniami Rosji destabilizującymi sytuację na Ukrainie; </w:t>
      </w:r>
    </w:p>
    <w:p w14:paraId="326748B9"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Rozporządzenie Rady (UE) nr 269/2014 z dnia 17 marca 2014 r. w sprawie środków ograniczających w odniesieniu do działań podważających integralność terytorialną, suwerenność i niezależność Ukrainy lub im zagrażających; </w:t>
      </w:r>
    </w:p>
    <w:p w14:paraId="3F5D9D60"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Rozporządzenie Rady (WE) nr 765/2006 z dnia 18 maja 2006 r. dotyczące środków ograniczających w związku z sytuacją na Białorusi i udziałem Białorusi w agresji Rosji wobec Ukrainy;</w:t>
      </w:r>
    </w:p>
    <w:p w14:paraId="056B4040"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Konwencja o prawach osób niepełnosprawnych, sporządzona w Nowym Jorku dnia 13 grudnia 2006 r.; </w:t>
      </w:r>
    </w:p>
    <w:p w14:paraId="7E8C7897"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Karta praw podstawowych Unii Europejskiej z dnia 6 czerwca 2016 r.;</w:t>
      </w:r>
    </w:p>
    <w:p w14:paraId="6DFB3289"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Konwencja o Prawach Dziecka przyjęta przez Zgromadzenie Ogólne Narodów Zjednoczonych dnia 20 listopada 1989 r.;</w:t>
      </w:r>
    </w:p>
    <w:p w14:paraId="58CEB15F"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28 kwietnia 2022 r. o zasadach realizacji zadań finansowanych ze środków europejskich w perspektywie finansowej 2021–2027, zwana dalej ustawą wdrożeniową;</w:t>
      </w:r>
    </w:p>
    <w:p w14:paraId="5D19AF1F"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10 maja 2018 r. o ochronie danych osobowych;</w:t>
      </w:r>
    </w:p>
    <w:p w14:paraId="3D6025BC"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Ustawa z dnia 23 kwietnia 1964 r. – Kodeks cywilny; </w:t>
      </w:r>
    </w:p>
    <w:p w14:paraId="2C945F3C"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Ustawa z dnia 27 sierpnia 2009 roku o finansach publicznych; </w:t>
      </w:r>
    </w:p>
    <w:p w14:paraId="531654A4"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11 września 2019 r. Prawo zamówień publicznych, zwana dalej ustawą PZP;</w:t>
      </w:r>
    </w:p>
    <w:p w14:paraId="1AB9FB3C"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30 kwietnia 2004 r. o postępowaniu w sprawach dotyczących pomocy publicznej;</w:t>
      </w:r>
    </w:p>
    <w:p w14:paraId="6BE7F699"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29 września 1994 r. o rachunkowości;</w:t>
      </w:r>
    </w:p>
    <w:p w14:paraId="3CEC4890"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Ustawa z dnia 13 października 1998 r. o systemie ubezpieczeń społecznych; </w:t>
      </w:r>
    </w:p>
    <w:p w14:paraId="4FA89540"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Ustawa z dnia 11 marca 2004 r. o podatku od towarów i usług; </w:t>
      </w:r>
    </w:p>
    <w:p w14:paraId="1172A965" w14:textId="05000713"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Ustawa z dnia 27 sierpnia 1997 r. o rehabilitacji zawodowej i społecznej </w:t>
      </w:r>
      <w:r w:rsidR="002834AA">
        <w:rPr>
          <w:rFonts w:cs="Arial"/>
        </w:rPr>
        <w:br/>
      </w:r>
      <w:r w:rsidRPr="00664B7D">
        <w:rPr>
          <w:rFonts w:cs="Arial"/>
        </w:rPr>
        <w:t xml:space="preserve">oraz zatrudnianiu osób niepełnosprawnych; </w:t>
      </w:r>
    </w:p>
    <w:p w14:paraId="76D945CE"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lastRenderedPageBreak/>
        <w:t xml:space="preserve">Ustawa z dnia 15 czerwca 2012 r. o skutkach powierzania wykonywania pracy cudzoziemcom przebywającym wbrew przepisom na terytorium Rzeczpospolitej Polskiej; </w:t>
      </w:r>
    </w:p>
    <w:p w14:paraId="0857DFEF"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28 października 2002 r. o odpowiedzialności podmiotów zbiorowych za czyny zabronione pod groźbą kary;</w:t>
      </w:r>
    </w:p>
    <w:p w14:paraId="2E367D1C"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26 czerwca 1974 r. Kodeks pracy;</w:t>
      </w:r>
    </w:p>
    <w:p w14:paraId="7B6A783B"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Ustawa z dnia 9 lipca 2003 r. o zatrudnianiu pracowników; </w:t>
      </w:r>
    </w:p>
    <w:p w14:paraId="3E936033"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13 kwietnia 2022 r. o szczególnych rozwiązaniach w zakresie przeciwdziałania wspieraniu agresji na Ukrainę oraz służących ochronie bezpieczeństwa narodowego;</w:t>
      </w:r>
    </w:p>
    <w:p w14:paraId="36DE6C9B"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Ustawa z dnia 30 sierpnia 2002r. Prawo o postępowaniu przed sądami administracyjnymi; </w:t>
      </w:r>
    </w:p>
    <w:p w14:paraId="0DF93540" w14:textId="521C44DB" w:rsidR="00A50A66" w:rsidRPr="00664B7D" w:rsidRDefault="00A50A66" w:rsidP="00F15960">
      <w:pPr>
        <w:numPr>
          <w:ilvl w:val="0"/>
          <w:numId w:val="34"/>
        </w:numPr>
        <w:autoSpaceDE w:val="0"/>
        <w:autoSpaceDN w:val="0"/>
        <w:adjustRightInd w:val="0"/>
        <w:spacing w:after="0"/>
        <w:rPr>
          <w:rFonts w:cs="Arial"/>
        </w:rPr>
      </w:pPr>
      <w:r w:rsidRPr="00664B7D">
        <w:rPr>
          <w:rFonts w:cs="Arial"/>
        </w:rPr>
        <w:t>Ustawa z dnia  14 czerwca 1960 roku – Kodeks Postępowania Administracyjnego;</w:t>
      </w:r>
    </w:p>
    <w:p w14:paraId="2C7CA1E8"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Rozporządzenie Ministra Rozwoju i Finansów z dnia 21 września 2022 </w:t>
      </w:r>
      <w:proofErr w:type="spellStart"/>
      <w:r w:rsidRPr="00664B7D">
        <w:rPr>
          <w:rFonts w:cs="Arial"/>
        </w:rPr>
        <w:t>r.w</w:t>
      </w:r>
      <w:proofErr w:type="spellEnd"/>
      <w:r w:rsidRPr="00664B7D">
        <w:rPr>
          <w:rFonts w:cs="Arial"/>
        </w:rPr>
        <w:t xml:space="preserve"> sprawie zaliczek w ramach programów finansowanych z udziałem środków europejskich;</w:t>
      </w:r>
    </w:p>
    <w:p w14:paraId="445C09F6"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 Rozporządzenie Ministra Finansów z dnia 18 stycznia 2018 r. w sprawie rejestru podmiotów wykluczonych z możliwości otrzymania środków przeznaczonych na realizację programów finansowanych z udziałem środków europejskich; </w:t>
      </w:r>
    </w:p>
    <w:p w14:paraId="19F7038D" w14:textId="77777777" w:rsidR="00A50A66" w:rsidRPr="00664B7D" w:rsidRDefault="00A50A66" w:rsidP="00F15960">
      <w:pPr>
        <w:numPr>
          <w:ilvl w:val="0"/>
          <w:numId w:val="34"/>
        </w:numPr>
        <w:autoSpaceDE w:val="0"/>
        <w:autoSpaceDN w:val="0"/>
        <w:adjustRightInd w:val="0"/>
        <w:spacing w:after="0"/>
        <w:rPr>
          <w:rFonts w:cs="Arial"/>
        </w:rPr>
      </w:pPr>
      <w:r w:rsidRPr="00664B7D">
        <w:rPr>
          <w:rFonts w:cs="Arial"/>
        </w:rPr>
        <w:t xml:space="preserve">Rozporządzenie Ministra Funduszy i Polityki Regionalnej z dnia 20 grudnia 2022 r. w sprawie udzielania pomocy de </w:t>
      </w:r>
      <w:proofErr w:type="spellStart"/>
      <w:r w:rsidRPr="00664B7D">
        <w:rPr>
          <w:rFonts w:cs="Arial"/>
        </w:rPr>
        <w:t>minimis</w:t>
      </w:r>
      <w:proofErr w:type="spellEnd"/>
      <w:r w:rsidRPr="00664B7D">
        <w:rPr>
          <w:rFonts w:cs="Arial"/>
        </w:rPr>
        <w:t xml:space="preserve"> oraz pomocy publicznej w ramach programów finansowanych z Europejskiego Funduszu Społecznego Plus (EFS+) na lata 2021–2027;</w:t>
      </w:r>
    </w:p>
    <w:p w14:paraId="34500241" w14:textId="2BD17041" w:rsidR="00A50A66" w:rsidRPr="00664B7D" w:rsidRDefault="00A50A66" w:rsidP="00F15960">
      <w:pPr>
        <w:numPr>
          <w:ilvl w:val="0"/>
          <w:numId w:val="34"/>
        </w:numPr>
        <w:autoSpaceDE w:val="0"/>
        <w:autoSpaceDN w:val="0"/>
        <w:adjustRightInd w:val="0"/>
        <w:spacing w:after="0"/>
        <w:rPr>
          <w:rFonts w:cs="Arial"/>
        </w:rPr>
      </w:pPr>
      <w:r w:rsidRPr="00664B7D">
        <w:rPr>
          <w:rFonts w:cs="Arial"/>
        </w:rPr>
        <w:t>Rozporządzenie Rady Ministrów z dnia 7 sierpnia 2008 r. w sprawie sprawozdań o udzielonej pomocy publicznej, informacji o nieudzieleniu takiej pomocy oraz sprawozdań o zaległościach przedsiębiorców we wpłatach świadczeń należnych na rze</w:t>
      </w:r>
      <w:r w:rsidR="00B51E85" w:rsidRPr="00664B7D">
        <w:rPr>
          <w:rFonts w:cs="Arial"/>
        </w:rPr>
        <w:t>cz sektora finansów publicznych.</w:t>
      </w:r>
    </w:p>
    <w:p w14:paraId="7C733CC5" w14:textId="77777777" w:rsidR="00A50A66" w:rsidRPr="00664B7D" w:rsidRDefault="00A50A66" w:rsidP="00B310B6">
      <w:pPr>
        <w:pStyle w:val="Nagwek-K"/>
      </w:pPr>
      <w:r w:rsidRPr="00664B7D">
        <w:t>Wykaz wytycznych</w:t>
      </w:r>
      <w:r w:rsidRPr="00664B7D">
        <w:rPr>
          <w:vertAlign w:val="superscript"/>
        </w:rPr>
        <w:footnoteReference w:id="1"/>
      </w:r>
      <w:r w:rsidRPr="00664B7D">
        <w:t>:</w:t>
      </w:r>
      <w:bookmarkEnd w:id="6"/>
      <w:bookmarkEnd w:id="7"/>
      <w:bookmarkEnd w:id="8"/>
      <w:bookmarkEnd w:id="9"/>
    </w:p>
    <w:p w14:paraId="6BEF4481" w14:textId="743A1EE8" w:rsidR="00A50A66" w:rsidRPr="00664B7D" w:rsidRDefault="00A50A66" w:rsidP="00F15960">
      <w:pPr>
        <w:pStyle w:val="Akapitzlist"/>
        <w:numPr>
          <w:ilvl w:val="0"/>
          <w:numId w:val="37"/>
        </w:numPr>
        <w:autoSpaceDE w:val="0"/>
        <w:autoSpaceDN w:val="0"/>
        <w:adjustRightInd w:val="0"/>
        <w:spacing w:after="0"/>
        <w:ind w:left="357" w:hanging="357"/>
        <w:rPr>
          <w:rFonts w:cs="Arial"/>
        </w:rPr>
      </w:pPr>
      <w:r w:rsidRPr="00664B7D">
        <w:rPr>
          <w:rFonts w:cs="Arial"/>
        </w:rPr>
        <w:t xml:space="preserve">Wytyczne dotyczące realizacji projektów z udziałem środków Europejskiego Funduszu Społecznego Plus w regionalnych programach na lata 2021-2027 z dnia 15 marca 2023 r.; </w:t>
      </w:r>
    </w:p>
    <w:p w14:paraId="5523FB47"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 xml:space="preserve">Wytyczne dotyczące wyboru projektów na lata 2021-2027 z dnia 12 października 2022 r.; </w:t>
      </w:r>
    </w:p>
    <w:p w14:paraId="606BBAB8"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 xml:space="preserve">Wytyczne dotyczące kwalifikowalności wydatków na lata 2021-2027  z dnia 18 listopada 2022 r., zwane dalej Wytycznymi kwalifikowalności; </w:t>
      </w:r>
    </w:p>
    <w:p w14:paraId="1FE6FC36" w14:textId="6D1C21DE"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 xml:space="preserve">Wytyczne dotyczące realizacji zasad równościowych w ramach funduszy unijnych </w:t>
      </w:r>
      <w:r w:rsidR="002834AA">
        <w:rPr>
          <w:rFonts w:cs="Arial"/>
        </w:rPr>
        <w:br/>
      </w:r>
      <w:r w:rsidRPr="00664B7D">
        <w:rPr>
          <w:rFonts w:cs="Arial"/>
        </w:rPr>
        <w:t>na lata 2021-2027 z dnia 29 grudnia 2022 r., zwane dalej Wytycznymi równościowymi;</w:t>
      </w:r>
    </w:p>
    <w:p w14:paraId="7B667583"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lastRenderedPageBreak/>
        <w:t>Wytyczne dotyczące szczegółowego opisu priorytetów (SZOP) krajowych i regionalnych programów na lata 2021-2027 z dnia 14 września 2022 r.;</w:t>
      </w:r>
    </w:p>
    <w:p w14:paraId="24B710E3"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Wytyczne dotyczące realizacji zasady partnerstwa na lata 2021-2027 z dnia 24 października 2022 r.;</w:t>
      </w:r>
    </w:p>
    <w:p w14:paraId="1E0F9654"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Wytyczne dotyczące warunków księgowania wydatków oraz przygotowania prognoz wniosków o płatność do Komisji Europejskiej w ramach programów polityki spójności na lata 2021-2027 z dnia 20 września 2022 r.;</w:t>
      </w:r>
    </w:p>
    <w:p w14:paraId="5706E164"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 xml:space="preserve">Wytyczne dotyczące komitetów monitorujących na lata 2021-2027  z dnia 21 września 2022 r.; </w:t>
      </w:r>
    </w:p>
    <w:p w14:paraId="3E01A11B"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Wytyczne dotyczące ewaluacji polityki spójności na lata 2021-2027 z dnia 24 sierpnia 2022 r.;</w:t>
      </w:r>
    </w:p>
    <w:p w14:paraId="5F8E523D"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Wytyczne dotyczące monitorowania postępu rzeczowego realizacji programów na lata 2021-2027 z dnia 12 października 2022 r.;</w:t>
      </w:r>
    </w:p>
    <w:p w14:paraId="71F5C84C"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Wytyczne dotyczące kontroli realizacji programów polityki spójności na lata 2021-2027 z dnia 26 października 2022 r.;</w:t>
      </w:r>
    </w:p>
    <w:p w14:paraId="7D11F927"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Wytyczne dotyczące korzystania z usług ekspertów w programach na lata 2021-2027 z dnia 30 listopada 2022 r.;</w:t>
      </w:r>
    </w:p>
    <w:p w14:paraId="35903C96" w14:textId="77777777"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Wytyczne dotyczące warunków gromadzenia i przekazywania danych w postaci elektronicznej na lata 2021-2027 z dnia 25 stycznia 2023 r.;</w:t>
      </w:r>
    </w:p>
    <w:p w14:paraId="79712439" w14:textId="08B2FB2D" w:rsidR="00A50A66" w:rsidRPr="00664B7D" w:rsidRDefault="00A50A66" w:rsidP="00F15960">
      <w:pPr>
        <w:numPr>
          <w:ilvl w:val="0"/>
          <w:numId w:val="37"/>
        </w:numPr>
        <w:autoSpaceDE w:val="0"/>
        <w:autoSpaceDN w:val="0"/>
        <w:adjustRightInd w:val="0"/>
        <w:spacing w:after="0"/>
        <w:ind w:left="357" w:hanging="357"/>
        <w:rPr>
          <w:rFonts w:cs="Arial"/>
        </w:rPr>
      </w:pPr>
      <w:r w:rsidRPr="00664B7D">
        <w:rPr>
          <w:rFonts w:cs="Arial"/>
        </w:rPr>
        <w:t>Wytyczne dotyczące informacji i promocji Funduszy Europejskich na lata 2021-2027 z dnia 19 kwietnia 2023 r.</w:t>
      </w:r>
      <w:r w:rsidR="00FC5ABB">
        <w:rPr>
          <w:rFonts w:cs="Arial"/>
        </w:rPr>
        <w:t>.</w:t>
      </w:r>
    </w:p>
    <w:p w14:paraId="633E3313" w14:textId="16D67FA4" w:rsidR="005400E1" w:rsidRPr="00664B7D" w:rsidRDefault="005400E1" w:rsidP="00221D4E">
      <w:pPr>
        <w:pStyle w:val="Nagwek-K"/>
      </w:pPr>
      <w:r w:rsidRPr="00664B7D">
        <w:t>Wykaz aktów prawnych związanych z przedmiotem naboru:</w:t>
      </w:r>
    </w:p>
    <w:p w14:paraId="18C99730" w14:textId="77777777" w:rsidR="00E17FB4" w:rsidRPr="00664B7D" w:rsidRDefault="00E17FB4" w:rsidP="00F15960">
      <w:pPr>
        <w:numPr>
          <w:ilvl w:val="0"/>
          <w:numId w:val="38"/>
        </w:numPr>
        <w:autoSpaceDE w:val="0"/>
        <w:autoSpaceDN w:val="0"/>
        <w:adjustRightInd w:val="0"/>
        <w:spacing w:after="0"/>
        <w:ind w:left="284" w:hanging="284"/>
        <w:rPr>
          <w:rFonts w:cs="Arial"/>
        </w:rPr>
      </w:pPr>
      <w:r w:rsidRPr="00664B7D">
        <w:rPr>
          <w:rFonts w:cs="Arial"/>
        </w:rPr>
        <w:t>Ustawa z dnia 23 maja 1991 r. o organizacjach pracodawców;</w:t>
      </w:r>
    </w:p>
    <w:p w14:paraId="08B9C77C" w14:textId="77777777" w:rsidR="00E17FB4" w:rsidRPr="00664B7D" w:rsidRDefault="00E17FB4" w:rsidP="00F15960">
      <w:pPr>
        <w:numPr>
          <w:ilvl w:val="0"/>
          <w:numId w:val="38"/>
        </w:numPr>
        <w:autoSpaceDE w:val="0"/>
        <w:autoSpaceDN w:val="0"/>
        <w:adjustRightInd w:val="0"/>
        <w:spacing w:after="0"/>
        <w:ind w:left="284" w:hanging="284"/>
        <w:rPr>
          <w:rFonts w:cs="Arial"/>
        </w:rPr>
      </w:pPr>
      <w:r w:rsidRPr="00664B7D">
        <w:rPr>
          <w:rFonts w:cs="Arial"/>
        </w:rPr>
        <w:t>Ustawa z dnia 22 marca 1989 r. o rzemiośle;</w:t>
      </w:r>
    </w:p>
    <w:p w14:paraId="5A26989E" w14:textId="77777777" w:rsidR="00E17FB4" w:rsidRPr="00664B7D" w:rsidRDefault="00E17FB4" w:rsidP="00F15960">
      <w:pPr>
        <w:numPr>
          <w:ilvl w:val="0"/>
          <w:numId w:val="38"/>
        </w:numPr>
        <w:autoSpaceDE w:val="0"/>
        <w:autoSpaceDN w:val="0"/>
        <w:adjustRightInd w:val="0"/>
        <w:spacing w:after="0"/>
        <w:ind w:left="284" w:hanging="284"/>
        <w:rPr>
          <w:rFonts w:cs="Arial"/>
        </w:rPr>
      </w:pPr>
      <w:r w:rsidRPr="00664B7D">
        <w:rPr>
          <w:rFonts w:cs="Arial"/>
        </w:rPr>
        <w:t>Ustawa z dnia 23 maja 1991 r. o związkach zawodowych;</w:t>
      </w:r>
    </w:p>
    <w:p w14:paraId="15B9C48F" w14:textId="77777777" w:rsidR="00E17FB4" w:rsidRPr="00664B7D" w:rsidRDefault="00E17FB4" w:rsidP="00F15960">
      <w:pPr>
        <w:numPr>
          <w:ilvl w:val="0"/>
          <w:numId w:val="38"/>
        </w:numPr>
        <w:autoSpaceDE w:val="0"/>
        <w:autoSpaceDN w:val="0"/>
        <w:adjustRightInd w:val="0"/>
        <w:spacing w:after="0"/>
        <w:ind w:left="284" w:hanging="284"/>
        <w:rPr>
          <w:rFonts w:cs="Arial"/>
        </w:rPr>
      </w:pPr>
      <w:r w:rsidRPr="00664B7D">
        <w:rPr>
          <w:rFonts w:cs="Arial"/>
        </w:rPr>
        <w:t xml:space="preserve">Ustawa z dnia 24 lipca 2015 r. </w:t>
      </w:r>
      <w:r w:rsidRPr="00664B7D">
        <w:rPr>
          <w:rFonts w:cs="Arial"/>
          <w:iCs/>
        </w:rPr>
        <w:t>o Radzie Dialogu Społecznego i innych instytucjach dialogu społecznego;</w:t>
      </w:r>
    </w:p>
    <w:p w14:paraId="12B66FA7" w14:textId="77777777" w:rsidR="00E17FB4" w:rsidRPr="00664B7D" w:rsidRDefault="00E17FB4" w:rsidP="00F15960">
      <w:pPr>
        <w:numPr>
          <w:ilvl w:val="0"/>
          <w:numId w:val="38"/>
        </w:numPr>
        <w:autoSpaceDE w:val="0"/>
        <w:autoSpaceDN w:val="0"/>
        <w:adjustRightInd w:val="0"/>
        <w:spacing w:after="0"/>
        <w:ind w:left="284" w:hanging="284"/>
        <w:rPr>
          <w:rFonts w:cs="Arial"/>
        </w:rPr>
      </w:pPr>
      <w:r w:rsidRPr="00664B7D">
        <w:rPr>
          <w:rFonts w:cs="Arial"/>
          <w:color w:val="222222"/>
          <w:shd w:val="clear" w:color="auto" w:fill="FFFFFF"/>
        </w:rPr>
        <w:t>Ustawa z dnia 6 lipca 2001 r. o Trójstronnej Komisji do Spraw Społeczno-Gospodarczych i wojewódzkich komisjach dialogu społecznego;</w:t>
      </w:r>
    </w:p>
    <w:p w14:paraId="7BE61B01" w14:textId="77777777" w:rsidR="00E17FB4" w:rsidRPr="00664B7D" w:rsidRDefault="00E17FB4" w:rsidP="00F15960">
      <w:pPr>
        <w:numPr>
          <w:ilvl w:val="0"/>
          <w:numId w:val="38"/>
        </w:numPr>
        <w:autoSpaceDE w:val="0"/>
        <w:autoSpaceDN w:val="0"/>
        <w:adjustRightInd w:val="0"/>
        <w:spacing w:after="0"/>
        <w:ind w:left="284" w:hanging="284"/>
        <w:rPr>
          <w:rFonts w:cs="Arial"/>
        </w:rPr>
      </w:pPr>
      <w:r w:rsidRPr="00664B7D">
        <w:rPr>
          <w:rFonts w:cs="Arial"/>
        </w:rPr>
        <w:t>Ustawa z dnia 8 października 2004 r. o zasadach finansowania nauki;</w:t>
      </w:r>
    </w:p>
    <w:p w14:paraId="45A6DE30" w14:textId="77777777" w:rsidR="00E17FB4" w:rsidRPr="00664B7D" w:rsidRDefault="00E17FB4" w:rsidP="00F15960">
      <w:pPr>
        <w:numPr>
          <w:ilvl w:val="0"/>
          <w:numId w:val="38"/>
        </w:numPr>
        <w:autoSpaceDE w:val="0"/>
        <w:autoSpaceDN w:val="0"/>
        <w:adjustRightInd w:val="0"/>
        <w:spacing w:after="0"/>
        <w:ind w:left="284" w:hanging="284"/>
        <w:rPr>
          <w:rFonts w:cs="Arial"/>
        </w:rPr>
      </w:pPr>
      <w:r w:rsidRPr="00664B7D">
        <w:t>Ustawa z dnia 20 lipca 2018 r. Prawo o szkolnictwie wyższym i nauce;</w:t>
      </w:r>
    </w:p>
    <w:p w14:paraId="3FB8229F" w14:textId="107114FC" w:rsidR="00F73D62" w:rsidRPr="00664B7D" w:rsidRDefault="00F73D62" w:rsidP="00F15960">
      <w:pPr>
        <w:pStyle w:val="TreNum-K"/>
        <w:numPr>
          <w:ilvl w:val="0"/>
          <w:numId w:val="38"/>
        </w:numPr>
        <w:ind w:left="284" w:hanging="284"/>
        <w:rPr>
          <w:bCs/>
        </w:rPr>
      </w:pPr>
      <w:r w:rsidRPr="00664B7D">
        <w:rPr>
          <w:bCs/>
        </w:rPr>
        <w:t>Ustawa z dnia 24 kwietnia 2003 r. o działalności pożytku publicznego i o wolontariacie</w:t>
      </w:r>
      <w:r w:rsidR="00FC5ABB">
        <w:rPr>
          <w:bCs/>
        </w:rPr>
        <w:t>.</w:t>
      </w:r>
    </w:p>
    <w:p w14:paraId="2C0A7A10" w14:textId="77777777" w:rsidR="00D6679F" w:rsidRPr="00664B7D" w:rsidRDefault="00D6679F" w:rsidP="00CB47F8">
      <w:pPr>
        <w:pStyle w:val="Podrozdzia-K"/>
      </w:pPr>
      <w:bookmarkStart w:id="10" w:name="_Toc145936709"/>
      <w:r w:rsidRPr="00664B7D">
        <w:t xml:space="preserve">Cel i </w:t>
      </w:r>
      <w:r w:rsidRPr="00CB47F8">
        <w:t>przedmiot</w:t>
      </w:r>
      <w:r w:rsidRPr="00664B7D">
        <w:t xml:space="preserve"> naboru</w:t>
      </w:r>
      <w:bookmarkEnd w:id="10"/>
    </w:p>
    <w:p w14:paraId="28F9873D" w14:textId="2AC3D2AB" w:rsidR="00D6679F" w:rsidRPr="00664B7D" w:rsidRDefault="00017D36" w:rsidP="00F15960">
      <w:pPr>
        <w:pStyle w:val="TreNum-K"/>
        <w:numPr>
          <w:ilvl w:val="0"/>
          <w:numId w:val="29"/>
        </w:numPr>
        <w:ind w:left="284" w:hanging="284"/>
        <w:rPr>
          <w:bCs/>
        </w:rPr>
      </w:pPr>
      <w:r w:rsidRPr="00664B7D">
        <w:t>Celem naboru jest wybór do dofinansowania projektu strategicznego „</w:t>
      </w:r>
      <w:r w:rsidR="00462042" w:rsidRPr="00664B7D">
        <w:t>Wsparcie organizacji społeczeństwa obywatelskiego i partnerów społecznych</w:t>
      </w:r>
      <w:r w:rsidRPr="00664B7D">
        <w:t xml:space="preserve">”, </w:t>
      </w:r>
      <w:r w:rsidR="00E47AF1" w:rsidRPr="00664B7D">
        <w:t xml:space="preserve">spełniającego </w:t>
      </w:r>
      <w:r w:rsidR="00E47AF1" w:rsidRPr="00664B7D">
        <w:lastRenderedPageBreak/>
        <w:t xml:space="preserve">określone w zał. nr 1 do Regulaminu kryteria, </w:t>
      </w:r>
      <w:r w:rsidRPr="00664B7D">
        <w:t xml:space="preserve">który </w:t>
      </w:r>
      <w:r w:rsidR="00D6679F" w:rsidRPr="00664B7D">
        <w:t xml:space="preserve">został </w:t>
      </w:r>
      <w:r w:rsidR="00E47AF1" w:rsidRPr="00664B7D">
        <w:t>wskazany</w:t>
      </w:r>
      <w:r w:rsidR="00D6679F" w:rsidRPr="00664B7D">
        <w:t xml:space="preserve"> w </w:t>
      </w:r>
      <w:r w:rsidR="0013799C" w:rsidRPr="00664B7D">
        <w:rPr>
          <w:i/>
          <w:iCs/>
        </w:rPr>
        <w:t xml:space="preserve">Wykazie </w:t>
      </w:r>
      <w:r w:rsidR="00E47AF1" w:rsidRPr="00664B7D">
        <w:rPr>
          <w:i/>
          <w:iCs/>
        </w:rPr>
        <w:t>zidentyfikowanych projektów wybieranych w sposób niekonkurencyjny w ramach programu regionalnego na lata 2021-2027</w:t>
      </w:r>
      <w:r w:rsidR="00E47AF1" w:rsidRPr="00664B7D">
        <w:rPr>
          <w:rFonts w:ascii="Calibri" w:hAnsi="Calibri" w:cs="Calibri"/>
          <w:i/>
          <w:iCs/>
        </w:rPr>
        <w:t xml:space="preserve"> </w:t>
      </w:r>
      <w:r w:rsidR="00E47AF1" w:rsidRPr="00664B7D">
        <w:rPr>
          <w:i/>
          <w:iCs/>
        </w:rPr>
        <w:t>Fundusze Europejskie dla Warmii i Mazur</w:t>
      </w:r>
      <w:bookmarkStart w:id="11" w:name="_Hlk135209078"/>
      <w:r w:rsidR="00E47AF1" w:rsidRPr="00664B7D">
        <w:t>.</w:t>
      </w:r>
    </w:p>
    <w:bookmarkEnd w:id="11"/>
    <w:p w14:paraId="330CFFAE" w14:textId="5747DD85" w:rsidR="001C3CAC" w:rsidRDefault="00E91CFD" w:rsidP="0015578D">
      <w:pPr>
        <w:pStyle w:val="TreNum-K"/>
        <w:numPr>
          <w:ilvl w:val="0"/>
          <w:numId w:val="22"/>
        </w:numPr>
        <w:ind w:left="284" w:hanging="284"/>
      </w:pPr>
      <w:r w:rsidRPr="00664B7D">
        <w:t>W ramach naboru wybrany do dofinansowania</w:t>
      </w:r>
      <w:r w:rsidR="00180770" w:rsidRPr="00664B7D">
        <w:t xml:space="preserve"> zostanie</w:t>
      </w:r>
      <w:r w:rsidRPr="00664B7D">
        <w:t xml:space="preserve"> projekt, </w:t>
      </w:r>
      <w:r w:rsidR="00180770" w:rsidRPr="00664B7D">
        <w:t>którego celem głównym jest</w:t>
      </w:r>
      <w:r w:rsidR="007D4BBC" w:rsidRPr="00664B7D">
        <w:t xml:space="preserve"> wzmocnienie potencjału partnerów społecznych i organizacji społeczeństwa obywatelskiego w celu zapewnienia ich udziału w realizacji polityk zatrudnienia, kształcenia i włączenia społecznego na rzecz społeczności lokalnych, mieszkańców województwa warmińsko-mazurskiego i rozwoju regionu, tj. tematycznie mieszczących się w zakresie interwencji EFS+.</w:t>
      </w:r>
    </w:p>
    <w:p w14:paraId="35989189" w14:textId="15EAB8E1" w:rsidR="00F77338" w:rsidRPr="00664B7D" w:rsidRDefault="00F77338" w:rsidP="0015578D">
      <w:pPr>
        <w:pStyle w:val="TreNum-K"/>
        <w:ind w:left="284"/>
      </w:pPr>
      <w:r w:rsidRPr="00664B7D">
        <w:rPr>
          <w:rFonts w:eastAsia="Calibri"/>
          <w:b/>
          <w:bCs/>
          <w:color w:val="2F5496"/>
        </w:rPr>
        <w:t>UWAGA!</w:t>
      </w:r>
      <w:r w:rsidRPr="00664B7D">
        <w:t xml:space="preserve"> </w:t>
      </w:r>
      <w:r>
        <w:t>Wsparcie zaplanowane w ramach projektu musi wpisywać się w założenia celu szczegółowego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0F37BC0D" w14:textId="16C09484" w:rsidR="00964C38" w:rsidRPr="00664B7D" w:rsidRDefault="00C74A45" w:rsidP="00CB47F8">
      <w:pPr>
        <w:pStyle w:val="TreNum-K"/>
        <w:numPr>
          <w:ilvl w:val="0"/>
          <w:numId w:val="22"/>
        </w:numPr>
        <w:ind w:left="284" w:hanging="284"/>
      </w:pPr>
      <w:r w:rsidRPr="00664B7D">
        <w:t xml:space="preserve">W ramach naboru wybrany do dofinansowania projekt będzie projektem grantowym </w:t>
      </w:r>
      <w:r w:rsidR="00F77338">
        <w:br/>
      </w:r>
      <w:r w:rsidRPr="00664B7D">
        <w:t>w rozumieniu art. 41 ustawy wdrożeniowej</w:t>
      </w:r>
      <w:r w:rsidR="00C202F9" w:rsidRPr="00664B7D">
        <w:t xml:space="preserve">. W związku z tym, wraz z wnioskiem </w:t>
      </w:r>
      <w:r w:rsidR="00F77338">
        <w:br/>
      </w:r>
      <w:r w:rsidR="00C202F9" w:rsidRPr="00664B7D">
        <w:t>o dofinansowanie, Wnioskodawca zobowiązany jest</w:t>
      </w:r>
      <w:r w:rsidR="00864967" w:rsidRPr="00664B7D">
        <w:t xml:space="preserve"> do złożenia R</w:t>
      </w:r>
      <w:r w:rsidR="00C202F9" w:rsidRPr="00664B7D">
        <w:t>egulaminu udzielania grantów</w:t>
      </w:r>
      <w:r w:rsidR="00472466">
        <w:t xml:space="preserve"> wraz z załącznikami</w:t>
      </w:r>
      <w:r w:rsidR="00C202F9" w:rsidRPr="00664B7D">
        <w:t>, który również będzie podlegał ocenie.</w:t>
      </w:r>
    </w:p>
    <w:p w14:paraId="14B978C0" w14:textId="77777777" w:rsidR="00D6679F" w:rsidRPr="00664B7D" w:rsidRDefault="00D6679F" w:rsidP="00CB47F8">
      <w:pPr>
        <w:pStyle w:val="Podrozdzia-K"/>
      </w:pPr>
      <w:bookmarkStart w:id="12" w:name="_Toc145936710"/>
      <w:r w:rsidRPr="00CB47F8">
        <w:t>Kwota</w:t>
      </w:r>
      <w:r w:rsidRPr="00664B7D">
        <w:t xml:space="preserve"> przeznaczona na nabór i podstawowe zasady udzielania</w:t>
      </w:r>
      <w:r w:rsidR="00E91CFD" w:rsidRPr="00664B7D">
        <w:t xml:space="preserve"> </w:t>
      </w:r>
      <w:r w:rsidRPr="00664B7D">
        <w:t>dofinansowania</w:t>
      </w:r>
      <w:bookmarkEnd w:id="12"/>
      <w:r w:rsidR="00E33E29" w:rsidRPr="00664B7D">
        <w:t xml:space="preserve"> </w:t>
      </w:r>
    </w:p>
    <w:p w14:paraId="5E089C15" w14:textId="2034F61B" w:rsidR="001C3CAC" w:rsidRPr="00664B7D" w:rsidRDefault="00E91CFD" w:rsidP="00032D19">
      <w:pPr>
        <w:pStyle w:val="TreNum-K"/>
        <w:numPr>
          <w:ilvl w:val="0"/>
          <w:numId w:val="23"/>
        </w:numPr>
        <w:ind w:left="426" w:hanging="426"/>
      </w:pPr>
      <w:r w:rsidRPr="00664B7D">
        <w:t>Środki na finansowanie projektów pochodzą z budżetu śr</w:t>
      </w:r>
      <w:r w:rsidR="00243057" w:rsidRPr="00664B7D">
        <w:t xml:space="preserve">odków europejskich oraz budżetu </w:t>
      </w:r>
      <w:r w:rsidRPr="00664B7D">
        <w:t>państwa.</w:t>
      </w: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C640C0" w:rsidRPr="00664B7D" w14:paraId="6782808D" w14:textId="77777777" w:rsidTr="00F4235C">
        <w:tc>
          <w:tcPr>
            <w:tcW w:w="9042" w:type="dxa"/>
            <w:gridSpan w:val="2"/>
          </w:tcPr>
          <w:p w14:paraId="0B58C4CC" w14:textId="71B1DAF7" w:rsidR="00C640C0" w:rsidRPr="00664B7D" w:rsidRDefault="00C640C0" w:rsidP="001C3CAC">
            <w:pPr>
              <w:spacing w:before="120" w:after="120" w:line="240" w:lineRule="auto"/>
              <w:rPr>
                <w:rFonts w:eastAsia="Calibri" w:cs="Arial"/>
              </w:rPr>
            </w:pPr>
            <w:r w:rsidRPr="00664B7D">
              <w:rPr>
                <w:rFonts w:eastAsia="Calibri" w:cs="Arial"/>
                <w:b/>
              </w:rPr>
              <w:t>Kwota przeznaczona na dofinansowanie projekt</w:t>
            </w:r>
            <w:r w:rsidR="00CB7E5B" w:rsidRPr="00664B7D">
              <w:rPr>
                <w:rFonts w:eastAsia="Calibri" w:cs="Arial"/>
                <w:b/>
              </w:rPr>
              <w:t>u</w:t>
            </w:r>
            <w:r w:rsidRPr="00664B7D">
              <w:rPr>
                <w:rFonts w:eastAsia="Calibri" w:cs="Arial"/>
                <w:b/>
              </w:rPr>
              <w:t xml:space="preserve"> w naborze</w:t>
            </w:r>
            <w:r w:rsidRPr="00664B7D">
              <w:rPr>
                <w:rStyle w:val="Odwoanieprzypisudolnego"/>
                <w:rFonts w:eastAsia="Calibri"/>
                <w:b/>
              </w:rPr>
              <w:footnoteReference w:id="2"/>
            </w:r>
            <w:r w:rsidRPr="00664B7D">
              <w:rPr>
                <w:rFonts w:eastAsia="Calibri" w:cs="Arial"/>
                <w:b/>
              </w:rPr>
              <w:t>:</w:t>
            </w:r>
          </w:p>
        </w:tc>
      </w:tr>
      <w:tr w:rsidR="00C640C0" w:rsidRPr="00664B7D" w14:paraId="3C11EE63" w14:textId="77777777" w:rsidTr="00A625BC">
        <w:tc>
          <w:tcPr>
            <w:tcW w:w="4965" w:type="dxa"/>
            <w:tcBorders>
              <w:top w:val="single" w:sz="12" w:space="0" w:color="0066CC"/>
              <w:bottom w:val="single" w:sz="12" w:space="0" w:color="0066CC"/>
            </w:tcBorders>
            <w:vAlign w:val="center"/>
          </w:tcPr>
          <w:p w14:paraId="148A9524" w14:textId="69AC085D" w:rsidR="00C640C0" w:rsidRPr="00664B7D" w:rsidRDefault="008A6F41" w:rsidP="001C3CAC">
            <w:pPr>
              <w:spacing w:before="120" w:after="120" w:line="240" w:lineRule="auto"/>
              <w:rPr>
                <w:rFonts w:eastAsia="Calibri" w:cs="Arial"/>
                <w:b/>
              </w:rPr>
            </w:pPr>
            <w:r w:rsidRPr="00664B7D">
              <w:rPr>
                <w:rFonts w:eastAsia="Calibri" w:cs="Arial"/>
                <w:b/>
              </w:rPr>
              <w:t>Wartość dofinansowania</w:t>
            </w:r>
            <w:r w:rsidR="001524B2" w:rsidRPr="00664B7D">
              <w:rPr>
                <w:rFonts w:eastAsia="Calibri" w:cs="Arial"/>
                <w:b/>
              </w:rPr>
              <w:t xml:space="preserve"> (95</w:t>
            </w:r>
            <w:r w:rsidR="00C640C0" w:rsidRPr="00664B7D">
              <w:rPr>
                <w:rFonts w:eastAsia="Calibri" w:cs="Arial"/>
                <w:b/>
              </w:rPr>
              <w:t>%):</w:t>
            </w:r>
          </w:p>
        </w:tc>
        <w:tc>
          <w:tcPr>
            <w:tcW w:w="4077" w:type="dxa"/>
            <w:tcBorders>
              <w:top w:val="single" w:sz="12" w:space="0" w:color="0066CC"/>
              <w:left w:val="nil"/>
              <w:bottom w:val="single" w:sz="12" w:space="0" w:color="0066CC"/>
              <w:right w:val="single" w:sz="12" w:space="0" w:color="0066CC"/>
            </w:tcBorders>
            <w:vAlign w:val="center"/>
          </w:tcPr>
          <w:p w14:paraId="66187661" w14:textId="72D2762F" w:rsidR="00C640C0" w:rsidRDefault="00CB7E5B" w:rsidP="00FB00FC">
            <w:pPr>
              <w:spacing w:before="100" w:after="100" w:line="240" w:lineRule="auto"/>
              <w:jc w:val="center"/>
              <w:rPr>
                <w:bCs/>
              </w:rPr>
            </w:pPr>
            <w:r w:rsidRPr="00664B7D">
              <w:rPr>
                <w:b/>
                <w:bCs/>
              </w:rPr>
              <w:t xml:space="preserve">24 525 382,68 </w:t>
            </w:r>
            <w:r w:rsidR="008A6F41" w:rsidRPr="00664B7D">
              <w:rPr>
                <w:b/>
                <w:bCs/>
              </w:rPr>
              <w:t>PL</w:t>
            </w:r>
            <w:r w:rsidR="00A625BC">
              <w:rPr>
                <w:b/>
                <w:bCs/>
              </w:rPr>
              <w:t>N</w:t>
            </w:r>
          </w:p>
          <w:p w14:paraId="2388397B" w14:textId="6CE8DC94" w:rsidR="00A625BC" w:rsidRPr="00A625BC" w:rsidRDefault="00A625BC" w:rsidP="00FB00FC">
            <w:pPr>
              <w:spacing w:before="100" w:after="100" w:line="240" w:lineRule="auto"/>
              <w:jc w:val="center"/>
            </w:pPr>
            <w:r w:rsidRPr="00A625BC">
              <w:t>(</w:t>
            </w:r>
            <w:r>
              <w:t>5 483 228,11 EUR)</w:t>
            </w:r>
          </w:p>
        </w:tc>
      </w:tr>
      <w:tr w:rsidR="00C640C0" w:rsidRPr="00664B7D" w14:paraId="30DB428F" w14:textId="77777777" w:rsidTr="00A625BC">
        <w:trPr>
          <w:trHeight w:val="248"/>
        </w:trPr>
        <w:tc>
          <w:tcPr>
            <w:tcW w:w="4965" w:type="dxa"/>
            <w:tcBorders>
              <w:top w:val="single" w:sz="12" w:space="0" w:color="0066CC"/>
              <w:bottom w:val="single" w:sz="12" w:space="0" w:color="0066CC"/>
              <w:right w:val="single" w:sz="4" w:space="0" w:color="auto"/>
            </w:tcBorders>
            <w:vAlign w:val="center"/>
          </w:tcPr>
          <w:p w14:paraId="16F3297A" w14:textId="77777777" w:rsidR="00C640C0" w:rsidRPr="00664B7D" w:rsidRDefault="00C640C0" w:rsidP="001C3CAC">
            <w:pPr>
              <w:spacing w:before="120" w:after="120" w:line="240" w:lineRule="auto"/>
              <w:rPr>
                <w:rFonts w:eastAsia="Calibri" w:cs="Arial"/>
                <w:b/>
              </w:rPr>
            </w:pPr>
            <w:r w:rsidRPr="00664B7D">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vAlign w:val="center"/>
          </w:tcPr>
          <w:p w14:paraId="098AFB2D" w14:textId="672905E1" w:rsidR="00C640C0" w:rsidRPr="00664B7D" w:rsidRDefault="007D4BBC" w:rsidP="00FB00FC">
            <w:pPr>
              <w:spacing w:before="100" w:after="100" w:line="240" w:lineRule="auto"/>
              <w:jc w:val="center"/>
              <w:rPr>
                <w:b/>
                <w:bCs/>
              </w:rPr>
            </w:pPr>
            <w:r w:rsidRPr="00664B7D">
              <w:rPr>
                <w:b/>
                <w:bCs/>
              </w:rPr>
              <w:t xml:space="preserve">21 943 763,45 </w:t>
            </w:r>
            <w:r w:rsidR="00C640C0" w:rsidRPr="00664B7D">
              <w:rPr>
                <w:b/>
                <w:bCs/>
              </w:rPr>
              <w:t>PLN</w:t>
            </w:r>
          </w:p>
          <w:p w14:paraId="33D29642" w14:textId="22008F3B" w:rsidR="00C640C0" w:rsidRPr="00664B7D" w:rsidRDefault="00A625BC" w:rsidP="00FB00FC">
            <w:pPr>
              <w:spacing w:before="100" w:after="100" w:line="240" w:lineRule="auto"/>
              <w:jc w:val="center"/>
              <w:rPr>
                <w:rFonts w:eastAsia="Calibri" w:cs="Arial"/>
                <w:highlight w:val="yellow"/>
              </w:rPr>
            </w:pPr>
            <w:r w:rsidRPr="00A625BC">
              <w:rPr>
                <w:rFonts w:eastAsia="Calibri" w:cs="Arial"/>
              </w:rPr>
              <w:t>(4 906 046,20 EUR)</w:t>
            </w:r>
          </w:p>
        </w:tc>
      </w:tr>
      <w:tr w:rsidR="00C640C0" w:rsidRPr="00664B7D" w14:paraId="078CF28A" w14:textId="77777777" w:rsidTr="00A625BC">
        <w:trPr>
          <w:trHeight w:val="673"/>
        </w:trPr>
        <w:tc>
          <w:tcPr>
            <w:tcW w:w="4965" w:type="dxa"/>
            <w:tcBorders>
              <w:top w:val="single" w:sz="12" w:space="0" w:color="0066CC"/>
              <w:bottom w:val="single" w:sz="12" w:space="0" w:color="0066CC"/>
              <w:right w:val="single" w:sz="4" w:space="0" w:color="auto"/>
            </w:tcBorders>
            <w:vAlign w:val="center"/>
          </w:tcPr>
          <w:p w14:paraId="669546F5" w14:textId="03DCD5B0" w:rsidR="00C640C0" w:rsidRPr="00664B7D" w:rsidRDefault="001524B2" w:rsidP="001C3CAC">
            <w:pPr>
              <w:spacing w:before="120" w:after="120" w:line="240" w:lineRule="auto"/>
              <w:rPr>
                <w:rFonts w:eastAsia="Calibri" w:cs="Arial"/>
                <w:b/>
              </w:rPr>
            </w:pPr>
            <w:r w:rsidRPr="00664B7D">
              <w:rPr>
                <w:rFonts w:eastAsia="Calibri" w:cs="Arial"/>
                <w:b/>
              </w:rPr>
              <w:t>w tym budżet państwa (10</w:t>
            </w:r>
            <w:r w:rsidR="00C640C0" w:rsidRPr="00664B7D">
              <w:rPr>
                <w:rFonts w:eastAsia="Calibri" w:cs="Arial"/>
                <w:b/>
              </w:rPr>
              <w:t>%)</w:t>
            </w:r>
          </w:p>
        </w:tc>
        <w:tc>
          <w:tcPr>
            <w:tcW w:w="4077" w:type="dxa"/>
            <w:tcBorders>
              <w:top w:val="single" w:sz="12" w:space="0" w:color="0066CC"/>
              <w:left w:val="single" w:sz="4" w:space="0" w:color="auto"/>
              <w:bottom w:val="single" w:sz="12" w:space="0" w:color="0066CC"/>
              <w:right w:val="single" w:sz="12" w:space="0" w:color="0066CC"/>
            </w:tcBorders>
            <w:vAlign w:val="center"/>
          </w:tcPr>
          <w:p w14:paraId="07D00B23" w14:textId="04BE2F1A" w:rsidR="00C640C0" w:rsidRPr="00664B7D" w:rsidRDefault="007D4BBC" w:rsidP="00FB00FC">
            <w:pPr>
              <w:spacing w:before="100" w:after="100" w:line="240" w:lineRule="auto"/>
              <w:jc w:val="center"/>
              <w:rPr>
                <w:b/>
                <w:bCs/>
              </w:rPr>
            </w:pPr>
            <w:r w:rsidRPr="00664B7D">
              <w:rPr>
                <w:b/>
                <w:bCs/>
              </w:rPr>
              <w:t xml:space="preserve">2 581 619,23 </w:t>
            </w:r>
            <w:r w:rsidR="00C640C0" w:rsidRPr="00664B7D">
              <w:rPr>
                <w:b/>
                <w:bCs/>
              </w:rPr>
              <w:t>PLN</w:t>
            </w:r>
          </w:p>
          <w:p w14:paraId="5347E0EE" w14:textId="4BA58BE3" w:rsidR="00C640C0" w:rsidRPr="00664B7D" w:rsidRDefault="00A625BC" w:rsidP="00FB00FC">
            <w:pPr>
              <w:spacing w:before="100" w:after="100" w:line="240" w:lineRule="auto"/>
              <w:jc w:val="center"/>
              <w:rPr>
                <w:bCs/>
              </w:rPr>
            </w:pPr>
            <w:r>
              <w:rPr>
                <w:bCs/>
              </w:rPr>
              <w:t>(577 181,91 EUR)</w:t>
            </w:r>
          </w:p>
        </w:tc>
      </w:tr>
    </w:tbl>
    <w:p w14:paraId="76B63D8E" w14:textId="7A1B91B1" w:rsidR="00180770" w:rsidRPr="00664B7D" w:rsidRDefault="00180770" w:rsidP="00032D19">
      <w:pPr>
        <w:pStyle w:val="TreNum-K"/>
        <w:numPr>
          <w:ilvl w:val="0"/>
          <w:numId w:val="8"/>
        </w:numPr>
        <w:ind w:left="426" w:hanging="426"/>
        <w:rPr>
          <w:bCs/>
        </w:rPr>
      </w:pPr>
      <w:r w:rsidRPr="00664B7D">
        <w:rPr>
          <w:bCs/>
        </w:rPr>
        <w:lastRenderedPageBreak/>
        <w:t>Do realizacji projektu jest wymagane wniesienie wkładu własnego Wnio</w:t>
      </w:r>
      <w:r w:rsidR="001524B2" w:rsidRPr="00664B7D">
        <w:rPr>
          <w:bCs/>
        </w:rPr>
        <w:t>skodawcy stanowiącego minimum 5</w:t>
      </w:r>
      <w:r w:rsidRPr="00664B7D">
        <w:rPr>
          <w:bCs/>
        </w:rPr>
        <w:t xml:space="preserve">% wydatków kwalifikowalnych. W związku z tym maksymalny </w:t>
      </w:r>
      <w:r w:rsidR="000B53A7">
        <w:rPr>
          <w:bCs/>
        </w:rPr>
        <w:t xml:space="preserve">dopuszczalny </w:t>
      </w:r>
      <w:r w:rsidRPr="00664B7D">
        <w:rPr>
          <w:bCs/>
        </w:rPr>
        <w:t>pozi</w:t>
      </w:r>
      <w:r w:rsidR="001524B2" w:rsidRPr="00664B7D">
        <w:rPr>
          <w:bCs/>
        </w:rPr>
        <w:t>om dofinansowania projektu to 95</w:t>
      </w:r>
      <w:r w:rsidRPr="00664B7D">
        <w:rPr>
          <w:bCs/>
        </w:rPr>
        <w:t>% wydatków kwalifikowalnych.</w:t>
      </w:r>
    </w:p>
    <w:p w14:paraId="48645FA1" w14:textId="2CCE9ED1" w:rsidR="00180770" w:rsidRDefault="00180770" w:rsidP="00032D19">
      <w:pPr>
        <w:pStyle w:val="TreNum-K"/>
        <w:numPr>
          <w:ilvl w:val="0"/>
          <w:numId w:val="8"/>
        </w:numPr>
        <w:ind w:left="426" w:hanging="426"/>
        <w:rPr>
          <w:bCs/>
        </w:rPr>
      </w:pPr>
      <w:r w:rsidRPr="00664B7D">
        <w:rPr>
          <w:bCs/>
        </w:rPr>
        <w:t>Zasady finansowe uregulowane zostały w Rozdziale 4 Zasad</w:t>
      </w:r>
      <w:r w:rsidR="000D6F69" w:rsidRPr="00664B7D">
        <w:rPr>
          <w:bCs/>
        </w:rPr>
        <w:t>y</w:t>
      </w:r>
      <w:r w:rsidRPr="00664B7D">
        <w:rPr>
          <w:bCs/>
        </w:rPr>
        <w:t xml:space="preserve"> finansowania </w:t>
      </w:r>
      <w:r w:rsidR="002834AA">
        <w:rPr>
          <w:bCs/>
        </w:rPr>
        <w:br/>
      </w:r>
      <w:r w:rsidRPr="00664B7D">
        <w:rPr>
          <w:bCs/>
        </w:rPr>
        <w:t>oraz w Wytycznych kwalifikowalności.</w:t>
      </w:r>
    </w:p>
    <w:p w14:paraId="4DB584D2" w14:textId="77777777" w:rsidR="00D6679F" w:rsidRPr="00664B7D" w:rsidRDefault="00D6679F" w:rsidP="00CB47F8">
      <w:pPr>
        <w:pStyle w:val="Podrozdzia-K"/>
      </w:pPr>
      <w:bookmarkStart w:id="13" w:name="_Toc145936711"/>
      <w:r w:rsidRPr="00CB47F8">
        <w:t>Udzielanie</w:t>
      </w:r>
      <w:r w:rsidRPr="00664B7D">
        <w:t xml:space="preserve"> informacji i sposób komunikacji między </w:t>
      </w:r>
      <w:r w:rsidR="00E33E29" w:rsidRPr="00664B7D">
        <w:t>W</w:t>
      </w:r>
      <w:r w:rsidRPr="00664B7D">
        <w:t xml:space="preserve">nioskodawcą </w:t>
      </w:r>
      <w:r w:rsidR="00E33E29" w:rsidRPr="00664B7D">
        <w:br/>
      </w:r>
      <w:r w:rsidRPr="00664B7D">
        <w:t>a ION</w:t>
      </w:r>
      <w:bookmarkEnd w:id="13"/>
    </w:p>
    <w:p w14:paraId="47B54441" w14:textId="23592B18" w:rsidR="00D6679F" w:rsidRPr="00664B7D" w:rsidRDefault="00D6679F" w:rsidP="00D70AA0">
      <w:pPr>
        <w:pStyle w:val="TreNum-K"/>
        <w:numPr>
          <w:ilvl w:val="0"/>
          <w:numId w:val="72"/>
        </w:numPr>
      </w:pPr>
      <w:r w:rsidRPr="00664B7D">
        <w:t>Wyjaśnień w kwestiach dotyczących naboru udziela ION w odpowiedzi na zapytania kierowane na adres poczty elektronicznej:</w:t>
      </w:r>
      <w:r w:rsidR="0069301C" w:rsidRPr="00664B7D">
        <w:rPr>
          <w:rFonts w:cstheme="minorBidi"/>
        </w:rPr>
        <w:t xml:space="preserve"> </w:t>
      </w:r>
      <w:r w:rsidR="00CB7E5B" w:rsidRPr="00664B7D">
        <w:t>nabor.bpku</w:t>
      </w:r>
      <w:r w:rsidR="007E10B9" w:rsidRPr="00664B7D">
        <w:t xml:space="preserve">@warmia.mazury.pl </w:t>
      </w:r>
      <w:r w:rsidRPr="00664B7D">
        <w:t>lub telefonicznie pod nr</w:t>
      </w:r>
      <w:r w:rsidR="008A2A28" w:rsidRPr="00664B7D">
        <w:t xml:space="preserve"> telefonu</w:t>
      </w:r>
      <w:r w:rsidRPr="00664B7D">
        <w:t>:</w:t>
      </w:r>
      <w:r w:rsidR="007E10B9" w:rsidRPr="00664B7D">
        <w:t xml:space="preserve"> </w:t>
      </w:r>
      <w:r w:rsidR="000473E0" w:rsidRPr="00664B7D">
        <w:t>453 050 260</w:t>
      </w:r>
      <w:r w:rsidR="007E10B9" w:rsidRPr="00664B7D">
        <w:t xml:space="preserve">. </w:t>
      </w:r>
    </w:p>
    <w:p w14:paraId="20763539" w14:textId="0DAF7B5D" w:rsidR="000D6F69" w:rsidRPr="00664B7D" w:rsidRDefault="00CB7E5B" w:rsidP="00984CFF">
      <w:pPr>
        <w:pStyle w:val="TreNum-K"/>
        <w:ind w:left="425"/>
      </w:pPr>
      <w:r w:rsidRPr="00664B7D">
        <w:rPr>
          <w:rFonts w:eastAsia="Calibri"/>
          <w:b/>
          <w:bCs/>
          <w:color w:val="2F5496"/>
        </w:rPr>
        <w:t>UWAGA!</w:t>
      </w:r>
      <w:r w:rsidRPr="00664B7D">
        <w:t xml:space="preserve"> </w:t>
      </w:r>
      <w:r w:rsidR="000D6F69" w:rsidRPr="00664B7D">
        <w:t xml:space="preserve">Należy mieć na uwadze, że przedmiotem zapytań w zakresie procedury wyboru projektów o charakterze ogólnym oraz dotyczących Regulaminu </w:t>
      </w:r>
      <w:r w:rsidR="000D6F69" w:rsidRPr="00664B7D">
        <w:rPr>
          <w:b/>
        </w:rPr>
        <w:t xml:space="preserve">nie mogą być konkretne zapisy, czy rozwiązania zastosowane w danym projekcie celem ich wstępnej </w:t>
      </w:r>
      <w:r w:rsidR="000D6F69" w:rsidRPr="00664B7D">
        <w:t xml:space="preserve">oceny. Należy jednocześnie pamiętać, że odpowiedź udzielana przez ION </w:t>
      </w:r>
      <w:r w:rsidR="002834AA">
        <w:br/>
      </w:r>
      <w:r w:rsidR="000D6F69" w:rsidRPr="00664B7D">
        <w:t>nie jest jednoznaczna z wynikiem oceny projektu.</w:t>
      </w:r>
    </w:p>
    <w:p w14:paraId="100854E6" w14:textId="77777777" w:rsidR="00017D36" w:rsidRPr="00664B7D" w:rsidRDefault="00017D36" w:rsidP="00D70AA0">
      <w:pPr>
        <w:pStyle w:val="TreNum-K"/>
        <w:numPr>
          <w:ilvl w:val="0"/>
          <w:numId w:val="72"/>
        </w:numPr>
      </w:pPr>
      <w:r w:rsidRPr="00664B7D">
        <w:t xml:space="preserve">W przypadku pytań technicznych związanych ze sposobem wypełnienia </w:t>
      </w:r>
      <w:r w:rsidR="00243057" w:rsidRPr="00664B7D">
        <w:t xml:space="preserve">wniosku </w:t>
      </w:r>
      <w:r w:rsidRPr="00664B7D">
        <w:t>o dofinansowanie w generatorze wniosków aplikacyj</w:t>
      </w:r>
      <w:r w:rsidR="00243057" w:rsidRPr="00664B7D">
        <w:t xml:space="preserve">nych SOWA EFS prosimy o kontakt </w:t>
      </w:r>
      <w:r w:rsidRPr="00664B7D">
        <w:t xml:space="preserve">pod nr telefonu: </w:t>
      </w:r>
      <w:r w:rsidRPr="00664B7D">
        <w:rPr>
          <w:b/>
        </w:rPr>
        <w:t>89 521 97 46</w:t>
      </w:r>
      <w:r w:rsidRPr="00664B7D">
        <w:t xml:space="preserve"> lub </w:t>
      </w:r>
      <w:r w:rsidR="00243057" w:rsidRPr="00664B7D">
        <w:t xml:space="preserve">adresem email: </w:t>
      </w:r>
      <w:hyperlink r:id="rId8" w:history="1">
        <w:r w:rsidRPr="00664B7D">
          <w:rPr>
            <w:rStyle w:val="Hipercze"/>
          </w:rPr>
          <w:t>help_desk_SOWA_EFS_CST@warmia.mazury.pl</w:t>
        </w:r>
      </w:hyperlink>
      <w:r w:rsidR="00AF5D6C" w:rsidRPr="00664B7D">
        <w:rPr>
          <w:rStyle w:val="Hipercze"/>
          <w:u w:val="none"/>
        </w:rPr>
        <w:t>.</w:t>
      </w:r>
    </w:p>
    <w:p w14:paraId="2AADA285" w14:textId="43884183" w:rsidR="00017D36" w:rsidRPr="00664B7D" w:rsidRDefault="00017D36" w:rsidP="00984CFF">
      <w:pPr>
        <w:pStyle w:val="TreNum-K"/>
        <w:ind w:left="426"/>
      </w:pPr>
      <w:r w:rsidRPr="00664B7D">
        <w:t>Ponadto informu</w:t>
      </w:r>
      <w:r w:rsidR="005954DE" w:rsidRPr="00664B7D">
        <w:t>jemy, iż istnieje możliwość zgłasza</w:t>
      </w:r>
      <w:r w:rsidRPr="00664B7D">
        <w:t>nia problemów technicznych bezpośrednio w systemie  SOWA EFS (całodobowo) pod linkiem:</w:t>
      </w:r>
      <w:r w:rsidRPr="00664B7D">
        <w:rPr>
          <w:rFonts w:eastAsia="Times New Roman"/>
          <w:color w:val="0000FF"/>
          <w:szCs w:val="20"/>
          <w:u w:val="single"/>
          <w:lang w:eastAsia="pl-PL"/>
        </w:rPr>
        <w:t xml:space="preserve"> </w:t>
      </w:r>
      <w:hyperlink r:id="rId9" w:history="1">
        <w:r w:rsidR="003C0FC0" w:rsidRPr="00664B7D">
          <w:rPr>
            <w:rStyle w:val="Hipercze"/>
          </w:rPr>
          <w:t>https://sowa2021.efs.gov.pl</w:t>
        </w:r>
      </w:hyperlink>
      <w:r w:rsidR="003C0FC0" w:rsidRPr="00664B7D">
        <w:t xml:space="preserve">. </w:t>
      </w:r>
      <w:r w:rsidRPr="00664B7D">
        <w:t>(zakładka „Wsparcie techniczne”).</w:t>
      </w:r>
    </w:p>
    <w:p w14:paraId="62408D2C" w14:textId="0AFDBA73" w:rsidR="001C3CAC" w:rsidRDefault="00D6679F" w:rsidP="00D70AA0">
      <w:pPr>
        <w:pStyle w:val="TreNum-K"/>
        <w:numPr>
          <w:ilvl w:val="0"/>
          <w:numId w:val="72"/>
        </w:numPr>
        <w:ind w:left="426" w:hanging="426"/>
      </w:pPr>
      <w:r w:rsidRPr="00664B7D">
        <w:t>Po złożeniu wniosku o dofinansowanie podstawowym narzędziem komun</w:t>
      </w:r>
      <w:r w:rsidR="003F4485" w:rsidRPr="00664B7D">
        <w:t>ikacji między W</w:t>
      </w:r>
      <w:r w:rsidRPr="00664B7D">
        <w:t>nioskodawcą a ION jest SOWA EFS.</w:t>
      </w:r>
    </w:p>
    <w:p w14:paraId="7F3D8286" w14:textId="672884DE" w:rsidR="00524F40" w:rsidRPr="00524F40" w:rsidRDefault="00C13876" w:rsidP="00D70AA0">
      <w:pPr>
        <w:pStyle w:val="TreNum-K"/>
        <w:numPr>
          <w:ilvl w:val="0"/>
          <w:numId w:val="72"/>
        </w:numPr>
        <w:ind w:left="426" w:hanging="426"/>
      </w:pPr>
      <w:r>
        <w:t>Komunikacja pomiędzy Wnioskodawcą a ION na etapie oceny, poprawy i uzupełniania Wniosku o dofinansowanie odbywa się za pośrednictwem SOWA EFS.</w:t>
      </w:r>
      <w:bookmarkStart w:id="14" w:name="_Toc145936712"/>
      <w:r w:rsidR="00524F40">
        <w:br w:type="page"/>
      </w:r>
    </w:p>
    <w:p w14:paraId="6174CE6A" w14:textId="3DEE6FA3" w:rsidR="00F54FBA" w:rsidRPr="00664B7D" w:rsidRDefault="00D6679F" w:rsidP="004451E6">
      <w:pPr>
        <w:pStyle w:val="Rozdzia-K"/>
      </w:pPr>
      <w:r w:rsidRPr="004451E6">
        <w:lastRenderedPageBreak/>
        <w:t>Składanie</w:t>
      </w:r>
      <w:r w:rsidRPr="00664B7D">
        <w:t xml:space="preserve"> </w:t>
      </w:r>
      <w:r w:rsidRPr="00DA5B6C">
        <w:t>wniosku</w:t>
      </w:r>
      <w:r w:rsidRPr="00664B7D">
        <w:t xml:space="preserve"> o dofinansowanie projektu</w:t>
      </w:r>
      <w:bookmarkEnd w:id="14"/>
    </w:p>
    <w:p w14:paraId="591F94E5" w14:textId="77777777" w:rsidR="00D6679F" w:rsidRPr="00664B7D" w:rsidRDefault="00D6679F" w:rsidP="00DA5B6C">
      <w:pPr>
        <w:pStyle w:val="Podrozdzia-K"/>
      </w:pPr>
      <w:bookmarkStart w:id="15" w:name="_Toc145936713"/>
      <w:r w:rsidRPr="00DA5B6C">
        <w:t>Formularz</w:t>
      </w:r>
      <w:r w:rsidRPr="00664B7D">
        <w:t xml:space="preserve"> wniosku o dofinansowanie</w:t>
      </w:r>
      <w:bookmarkEnd w:id="15"/>
    </w:p>
    <w:p w14:paraId="2B9FED9C" w14:textId="39729EB7" w:rsidR="003943D7" w:rsidRDefault="00D6679F" w:rsidP="00F15960">
      <w:pPr>
        <w:pStyle w:val="TreNum-K"/>
        <w:numPr>
          <w:ilvl w:val="0"/>
          <w:numId w:val="62"/>
        </w:numPr>
      </w:pPr>
      <w:r w:rsidRPr="0044454F">
        <w:t>Warunkiem</w:t>
      </w:r>
      <w:r w:rsidRPr="00664B7D">
        <w:t xml:space="preserve"> niezbędnym do ubiegania się o dofinansowanie jest wypełnienie w SOWA EFS wniosku o dofinansowanie projektu, którego wzór jest dostępny w SOWA EFS </w:t>
      </w:r>
      <w:r w:rsidR="001B0794" w:rsidRPr="00664B7D">
        <w:br/>
      </w:r>
      <w:r w:rsidRPr="00664B7D">
        <w:t>w zakładce</w:t>
      </w:r>
      <w:r w:rsidR="00670252" w:rsidRPr="00664B7D">
        <w:t xml:space="preserve"> </w:t>
      </w:r>
      <w:r w:rsidRPr="00664B7D">
        <w:t>Wzory dokumentów i zł</w:t>
      </w:r>
      <w:r w:rsidR="00864967" w:rsidRPr="00664B7D">
        <w:t>ożenie go w formie wymaganej w R</w:t>
      </w:r>
      <w:r w:rsidRPr="00664B7D">
        <w:t xml:space="preserve">egulaminie </w:t>
      </w:r>
      <w:r w:rsidR="001C316C" w:rsidRPr="00664B7D">
        <w:t>wyboru projektów</w:t>
      </w:r>
      <w:r w:rsidRPr="00664B7D">
        <w:t xml:space="preserve"> (podrozdział</w:t>
      </w:r>
      <w:r w:rsidR="00670252" w:rsidRPr="00664B7D">
        <w:t xml:space="preserve"> </w:t>
      </w:r>
      <w:r w:rsidRPr="00664B7D">
        <w:t>2.2). SOWA EFS dostępny jest z poziomu przeglądarki internetowej pod adresem:</w:t>
      </w:r>
      <w:r w:rsidR="00670252" w:rsidRPr="00664B7D">
        <w:t xml:space="preserve"> </w:t>
      </w:r>
      <w:hyperlink r:id="rId10" w:history="1">
        <w:r w:rsidR="003C0FC0" w:rsidRPr="00664B7D">
          <w:rPr>
            <w:rStyle w:val="Hipercze"/>
          </w:rPr>
          <w:t>https://sowa2021.efs.gov.pl</w:t>
        </w:r>
      </w:hyperlink>
      <w:r w:rsidRPr="00664B7D">
        <w:t>.</w:t>
      </w:r>
    </w:p>
    <w:p w14:paraId="7D3FB070" w14:textId="4CE1B788" w:rsidR="00EC26A3" w:rsidRPr="00EC26A3" w:rsidRDefault="00EC26A3" w:rsidP="00F15960">
      <w:pPr>
        <w:pStyle w:val="TreNum-K"/>
        <w:numPr>
          <w:ilvl w:val="0"/>
          <w:numId w:val="62"/>
        </w:numPr>
      </w:pPr>
      <w:r w:rsidRPr="0044454F">
        <w:t>Przygotowując</w:t>
      </w:r>
      <w:r w:rsidRPr="00EC26A3">
        <w:t xml:space="preserve"> wniosek </w:t>
      </w:r>
      <w:r w:rsidRPr="00EC26A3">
        <w:rPr>
          <w:rStyle w:val="markedcontent"/>
        </w:rPr>
        <w:t>o dofinansowanie projektu należy:</w:t>
      </w:r>
    </w:p>
    <w:p w14:paraId="5EE6D2D0" w14:textId="58F7F654" w:rsidR="00EC26A3" w:rsidRPr="00EC26A3" w:rsidRDefault="00EC26A3" w:rsidP="00F15960">
      <w:pPr>
        <w:pStyle w:val="TreNum-K"/>
        <w:numPr>
          <w:ilvl w:val="1"/>
          <w:numId w:val="62"/>
        </w:numPr>
        <w:adjustRightInd/>
        <w:rPr>
          <w:rStyle w:val="markedcontent"/>
        </w:rPr>
      </w:pPr>
      <w:r>
        <w:rPr>
          <w:rStyle w:val="markedcontent"/>
        </w:rPr>
        <w:t>z</w:t>
      </w:r>
      <w:r w:rsidRPr="00EC26A3">
        <w:rPr>
          <w:rStyle w:val="markedcontent"/>
        </w:rPr>
        <w:t xml:space="preserve">arejestrować konto użytkownika w systemie SOWA EFS </w:t>
      </w:r>
      <w:hyperlink r:id="rId11" w:history="1">
        <w:r w:rsidRPr="00EC26A3">
          <w:rPr>
            <w:rStyle w:val="markedcontent"/>
          </w:rPr>
          <w:t>https://sowa2021.efs.gov.pl/login</w:t>
        </w:r>
      </w:hyperlink>
      <w:r w:rsidRPr="00EC26A3">
        <w:rPr>
          <w:rStyle w:val="markedcontent"/>
        </w:rPr>
        <w:t xml:space="preserve"> (zgodnie z procedurą zawartą w INSTRUKCJI UŻYTKOWNIKA Systemu Obsługi Wniosków Aplikacyjnych Europejskiego Funduszu Społecznego SOWA EFS dla wnioskodawców/ beneficjentów)</w:t>
      </w:r>
      <w:r>
        <w:rPr>
          <w:rStyle w:val="markedcontent"/>
        </w:rPr>
        <w:t>;</w:t>
      </w:r>
    </w:p>
    <w:p w14:paraId="583251CC" w14:textId="201C648C" w:rsidR="00EC26A3" w:rsidRPr="00EC26A3" w:rsidRDefault="00EC26A3" w:rsidP="00F15960">
      <w:pPr>
        <w:pStyle w:val="TreNum-K"/>
        <w:numPr>
          <w:ilvl w:val="1"/>
          <w:numId w:val="62"/>
        </w:numPr>
        <w:adjustRightInd/>
        <w:rPr>
          <w:rStyle w:val="markedcontent"/>
        </w:rPr>
      </w:pPr>
      <w:r>
        <w:rPr>
          <w:rStyle w:val="markedcontent"/>
        </w:rPr>
        <w:t>z</w:t>
      </w:r>
      <w:r w:rsidRPr="00EC26A3">
        <w:rPr>
          <w:rStyle w:val="markedcontent"/>
        </w:rPr>
        <w:t xml:space="preserve">arejestrować Organizację tzn. Wnioskodawcę (zakładka „Organizacja”). Należy podać pełną nazwę Organizacji/Wnioskodawcy (zgodnie z wpisem do rejestru albo ewidencji właściwych dla formy organizacyjnej Wnioskodawcy), nr identyfikatora np. NIP, </w:t>
      </w:r>
      <w:r w:rsidR="002834AA">
        <w:rPr>
          <w:rStyle w:val="markedcontent"/>
        </w:rPr>
        <w:br/>
      </w:r>
      <w:r w:rsidRPr="00EC26A3">
        <w:rPr>
          <w:rStyle w:val="markedcontent"/>
        </w:rPr>
        <w:t>typ Wnioskodawcy, formę własności, dane adresowe, wielkość przedsiębiorstwa, itd. oraz zapisać zmiany</w:t>
      </w:r>
      <w:r>
        <w:rPr>
          <w:rStyle w:val="markedcontent"/>
        </w:rPr>
        <w:t>;</w:t>
      </w:r>
      <w:r w:rsidRPr="00EC26A3">
        <w:rPr>
          <w:rStyle w:val="markedcontent"/>
        </w:rPr>
        <w:t xml:space="preserve"> </w:t>
      </w:r>
    </w:p>
    <w:p w14:paraId="1D78EFF4" w14:textId="36FB3436" w:rsidR="00EC26A3" w:rsidRPr="00EC26A3" w:rsidRDefault="00DA5B6C" w:rsidP="00EC26A3">
      <w:pPr>
        <w:pStyle w:val="TreNum-K"/>
        <w:ind w:left="357"/>
        <w:rPr>
          <w:rStyle w:val="markedcontent"/>
        </w:rPr>
      </w:pPr>
      <w:r w:rsidRPr="00664B7D">
        <w:rPr>
          <w:rFonts w:eastAsia="Calibri"/>
          <w:b/>
          <w:bCs/>
          <w:color w:val="2F5496"/>
        </w:rPr>
        <w:t>UWAGA!</w:t>
      </w:r>
      <w:r w:rsidR="00EC26A3" w:rsidRPr="00EC26A3">
        <w:rPr>
          <w:rStyle w:val="markedcontent"/>
        </w:rPr>
        <w:t xml:space="preserve"> </w:t>
      </w:r>
      <w:r w:rsidR="00EC26A3" w:rsidRPr="00EC26A3">
        <w:rPr>
          <w:rStyle w:val="markedcontent"/>
          <w:b/>
          <w:bCs/>
        </w:rPr>
        <w:t>Bez rejestracji „Organizacji” nie można utworzyć nowego wniosku.</w:t>
      </w:r>
      <w:r w:rsidR="00EC26A3" w:rsidRPr="00EC26A3">
        <w:rPr>
          <w:rStyle w:val="markedcontent"/>
        </w:rPr>
        <w:t xml:space="preserve"> </w:t>
      </w:r>
    </w:p>
    <w:p w14:paraId="439A2C3F" w14:textId="7686EA21" w:rsidR="00EC26A3" w:rsidRPr="00EC26A3" w:rsidRDefault="00EC26A3" w:rsidP="00F15960">
      <w:pPr>
        <w:pStyle w:val="TreNum-K"/>
        <w:numPr>
          <w:ilvl w:val="1"/>
          <w:numId w:val="62"/>
        </w:numPr>
        <w:adjustRightInd/>
        <w:rPr>
          <w:rStyle w:val="markedcontent"/>
        </w:rPr>
      </w:pPr>
      <w:r>
        <w:rPr>
          <w:rStyle w:val="markedcontent"/>
        </w:rPr>
        <w:t>w</w:t>
      </w:r>
      <w:r w:rsidRPr="00EC26A3">
        <w:rPr>
          <w:rStyle w:val="markedcontent"/>
        </w:rPr>
        <w:t>ejść w zakładkę „Lista naborów”. Wybrać odpowiedni nabór z kafla klikając w menu „Pokaż szczegóły” (prawy górny róg kafla)</w:t>
      </w:r>
      <w:r>
        <w:rPr>
          <w:rStyle w:val="markedcontent"/>
        </w:rPr>
        <w:t>;</w:t>
      </w:r>
    </w:p>
    <w:p w14:paraId="0CA0471B" w14:textId="5F08B8DC" w:rsidR="00EC26A3" w:rsidRPr="00EC26A3" w:rsidRDefault="00EC26A3" w:rsidP="00F15960">
      <w:pPr>
        <w:pStyle w:val="TreNum-K"/>
        <w:numPr>
          <w:ilvl w:val="1"/>
          <w:numId w:val="62"/>
        </w:numPr>
        <w:adjustRightInd/>
        <w:rPr>
          <w:rStyle w:val="markedcontent"/>
        </w:rPr>
      </w:pPr>
      <w:r>
        <w:rPr>
          <w:rStyle w:val="markedcontent"/>
        </w:rPr>
        <w:t>w</w:t>
      </w:r>
      <w:r w:rsidRPr="00EC26A3">
        <w:rPr>
          <w:rStyle w:val="markedcontent"/>
        </w:rPr>
        <w:t>ejść w zakładkę „Utwórz wniosek” (wpisać Tytuł projektu)</w:t>
      </w:r>
      <w:r>
        <w:rPr>
          <w:rStyle w:val="markedcontent"/>
        </w:rPr>
        <w:t>;</w:t>
      </w:r>
    </w:p>
    <w:p w14:paraId="7BD47E98" w14:textId="7DA31E49" w:rsidR="00EC26A3" w:rsidRPr="00EC26A3" w:rsidRDefault="00EC26A3" w:rsidP="00F15960">
      <w:pPr>
        <w:pStyle w:val="TreNum-K"/>
        <w:numPr>
          <w:ilvl w:val="1"/>
          <w:numId w:val="62"/>
        </w:numPr>
        <w:adjustRightInd/>
        <w:rPr>
          <w:rStyle w:val="markedcontent"/>
        </w:rPr>
      </w:pPr>
      <w:r>
        <w:rPr>
          <w:rStyle w:val="markedcontent"/>
        </w:rPr>
        <w:t>w</w:t>
      </w:r>
      <w:r w:rsidRPr="00EC26A3">
        <w:rPr>
          <w:rStyle w:val="markedcontent"/>
        </w:rPr>
        <w:t>ejść w zakładkę „Moje projekty”. Odnaleźć swój projekt po tytule lub nr naboru</w:t>
      </w:r>
      <w:r>
        <w:rPr>
          <w:rStyle w:val="markedcontent"/>
        </w:rPr>
        <w:t>;</w:t>
      </w:r>
    </w:p>
    <w:p w14:paraId="2209785E" w14:textId="28B26114" w:rsidR="00EC26A3" w:rsidRPr="00EC26A3" w:rsidRDefault="00EC26A3" w:rsidP="00F15960">
      <w:pPr>
        <w:pStyle w:val="TreNum-K"/>
        <w:numPr>
          <w:ilvl w:val="1"/>
          <w:numId w:val="62"/>
        </w:numPr>
        <w:adjustRightInd/>
        <w:rPr>
          <w:rStyle w:val="markedcontent"/>
        </w:rPr>
      </w:pPr>
      <w:r>
        <w:rPr>
          <w:rStyle w:val="markedcontent"/>
        </w:rPr>
        <w:t>k</w:t>
      </w:r>
      <w:r w:rsidRPr="00EC26A3">
        <w:rPr>
          <w:rStyle w:val="markedcontent"/>
        </w:rPr>
        <w:t>liknąć w zakładkę „Edytuj” (na dole kafla)</w:t>
      </w:r>
      <w:r>
        <w:rPr>
          <w:rStyle w:val="markedcontent"/>
        </w:rPr>
        <w:t>;</w:t>
      </w:r>
    </w:p>
    <w:p w14:paraId="605B7E65" w14:textId="7C4A0674" w:rsidR="00EC26A3" w:rsidRPr="00EC26A3" w:rsidRDefault="00EC26A3" w:rsidP="00F15960">
      <w:pPr>
        <w:pStyle w:val="TreNum-K"/>
        <w:numPr>
          <w:ilvl w:val="1"/>
          <w:numId w:val="62"/>
        </w:numPr>
        <w:adjustRightInd/>
        <w:rPr>
          <w:rStyle w:val="markedcontent"/>
        </w:rPr>
      </w:pPr>
      <w:r>
        <w:rPr>
          <w:rStyle w:val="markedcontent"/>
        </w:rPr>
        <w:t>w</w:t>
      </w:r>
      <w:r w:rsidRPr="00EC26A3">
        <w:rPr>
          <w:rStyle w:val="markedcontent"/>
        </w:rPr>
        <w:t>ypełnić wniosek o dofinansowanie projektu zgodnie z niniejszym Regulaminem wyboru projektów, w tym INSTRUKCJĄ (merytoryczną) wypełniania wniosku o dofinansowanie projektu współfinansowanego z EFS+ w ramach Programu Fundusze Europejskie dla Warmii i Mazur na lata 2021-2027 (</w:t>
      </w:r>
      <w:proofErr w:type="spellStart"/>
      <w:r w:rsidRPr="00EC26A3">
        <w:rPr>
          <w:rStyle w:val="markedcontent"/>
        </w:rPr>
        <w:t>FEWiM</w:t>
      </w:r>
      <w:proofErr w:type="spellEnd"/>
      <w:r w:rsidRPr="00EC26A3">
        <w:rPr>
          <w:rStyle w:val="markedcontent"/>
        </w:rPr>
        <w:t xml:space="preserve"> 2021-2027) (wersja 1.0) zwaną dalej Instrukcją merytoryczną oraz INSTRUKCJĄ UŻYTKOWNIKA Systemu Obsługi Wniosków Aplikacyjnych Europejskiego Funduszu Społecznego (SOWA EFS) </w:t>
      </w:r>
      <w:r w:rsidR="002834AA">
        <w:rPr>
          <w:rStyle w:val="markedcontent"/>
        </w:rPr>
        <w:br/>
      </w:r>
      <w:r w:rsidRPr="00EC26A3">
        <w:rPr>
          <w:rStyle w:val="markedcontent"/>
        </w:rPr>
        <w:t xml:space="preserve">dla </w:t>
      </w:r>
      <w:r>
        <w:rPr>
          <w:rStyle w:val="markedcontent"/>
        </w:rPr>
        <w:t>W</w:t>
      </w:r>
      <w:r w:rsidRPr="00EC26A3">
        <w:rPr>
          <w:rStyle w:val="markedcontent"/>
        </w:rPr>
        <w:t xml:space="preserve">nioskodawców/ </w:t>
      </w:r>
      <w:r>
        <w:rPr>
          <w:rStyle w:val="markedcontent"/>
        </w:rPr>
        <w:t>B</w:t>
      </w:r>
      <w:r w:rsidRPr="00EC26A3">
        <w:rPr>
          <w:rStyle w:val="markedcontent"/>
        </w:rPr>
        <w:t>eneficjentów zwaną dalej Instrukcją techniczną</w:t>
      </w:r>
      <w:r>
        <w:rPr>
          <w:rStyle w:val="markedcontent"/>
        </w:rPr>
        <w:t>;</w:t>
      </w:r>
    </w:p>
    <w:p w14:paraId="310CD723" w14:textId="481D0CF2" w:rsidR="00EC26A3" w:rsidRPr="00EC26A3" w:rsidRDefault="00EC26A3" w:rsidP="00F15960">
      <w:pPr>
        <w:pStyle w:val="TreNum-K"/>
        <w:numPr>
          <w:ilvl w:val="1"/>
          <w:numId w:val="62"/>
        </w:numPr>
        <w:adjustRightInd/>
        <w:rPr>
          <w:rStyle w:val="markedcontent"/>
        </w:rPr>
      </w:pPr>
      <w:r>
        <w:rPr>
          <w:rStyle w:val="markedcontent"/>
        </w:rPr>
        <w:t>d</w:t>
      </w:r>
      <w:r w:rsidRPr="00EC26A3">
        <w:rPr>
          <w:rStyle w:val="markedcontent"/>
        </w:rPr>
        <w:t>okonać walidacji danych we wniosku za pomocą funkcji „Sprawdź wniosek” (dolny prawy róg strony)</w:t>
      </w:r>
      <w:r>
        <w:rPr>
          <w:rStyle w:val="markedcontent"/>
        </w:rPr>
        <w:t>;</w:t>
      </w:r>
    </w:p>
    <w:p w14:paraId="124B8141" w14:textId="3EE687CD" w:rsidR="00EC26A3" w:rsidRPr="00664B7D" w:rsidRDefault="00EC26A3" w:rsidP="00F15960">
      <w:pPr>
        <w:pStyle w:val="TreNum-K"/>
        <w:numPr>
          <w:ilvl w:val="1"/>
          <w:numId w:val="62"/>
        </w:numPr>
        <w:adjustRightInd/>
      </w:pPr>
      <w:r>
        <w:rPr>
          <w:rStyle w:val="markedcontent"/>
        </w:rPr>
        <w:t>p</w:t>
      </w:r>
      <w:r w:rsidRPr="00EC26A3">
        <w:rPr>
          <w:rStyle w:val="markedcontent"/>
        </w:rPr>
        <w:t xml:space="preserve">rzesłać wniosek o dofinansowanie projektu za pomocą funkcji „Prześlij do instytucji”. Wniosek musi zostać przesłany (przed zakończeniem naboru) w formie elektronicznej </w:t>
      </w:r>
      <w:r w:rsidR="002834AA">
        <w:rPr>
          <w:rStyle w:val="markedcontent"/>
        </w:rPr>
        <w:br/>
      </w:r>
      <w:r w:rsidRPr="00EC26A3">
        <w:rPr>
          <w:rStyle w:val="markedcontent"/>
        </w:rPr>
        <w:t>za pomocą systemu SOWA EFS do Instytucji Organizującej Nabór.</w:t>
      </w:r>
    </w:p>
    <w:p w14:paraId="46EED825" w14:textId="5FC16802" w:rsidR="00986FF1" w:rsidRPr="00664B7D" w:rsidRDefault="00D6679F" w:rsidP="00F15960">
      <w:pPr>
        <w:pStyle w:val="TreNum-K"/>
        <w:numPr>
          <w:ilvl w:val="0"/>
          <w:numId w:val="62"/>
        </w:numPr>
      </w:pPr>
      <w:r w:rsidRPr="0044454F">
        <w:lastRenderedPageBreak/>
        <w:t>Szczegółowe</w:t>
      </w:r>
      <w:r w:rsidRPr="00664B7D">
        <w:t xml:space="preserve"> informacje w zakresie zakładania konta oraz obsługi systemu znajdują się </w:t>
      </w:r>
      <w:r w:rsidR="00F54FBA" w:rsidRPr="00664B7D">
        <w:br/>
      </w:r>
      <w:r w:rsidRPr="00664B7D">
        <w:t>w</w:t>
      </w:r>
      <w:r w:rsidR="00670252" w:rsidRPr="00664B7D">
        <w:t xml:space="preserve"> </w:t>
      </w:r>
      <w:r w:rsidRPr="00664B7D">
        <w:t>Instrukcji użytkownika SOWA</w:t>
      </w:r>
      <w:r w:rsidR="003F4485" w:rsidRPr="00664B7D">
        <w:t xml:space="preserve"> EFS dla W</w:t>
      </w:r>
      <w:r w:rsidR="004D49ED" w:rsidRPr="00664B7D">
        <w:t>nioskodawców/B</w:t>
      </w:r>
      <w:r w:rsidRPr="00664B7D">
        <w:t xml:space="preserve">eneficjentów, która jest dostępna w SOWA EFS w zakładce </w:t>
      </w:r>
      <w:r w:rsidR="004E7203" w:rsidRPr="00664B7D">
        <w:t>„</w:t>
      </w:r>
      <w:r w:rsidRPr="00664B7D">
        <w:t>Pomoc</w:t>
      </w:r>
      <w:r w:rsidR="004E7203" w:rsidRPr="00664B7D">
        <w:t>”</w:t>
      </w:r>
      <w:r w:rsidRPr="00664B7D">
        <w:t>.</w:t>
      </w:r>
    </w:p>
    <w:p w14:paraId="47F932E7" w14:textId="77777777" w:rsidR="00D6679F" w:rsidRPr="00664B7D" w:rsidRDefault="00D6679F" w:rsidP="00AF1035">
      <w:pPr>
        <w:pStyle w:val="Podrozdzia-K"/>
      </w:pPr>
      <w:bookmarkStart w:id="16" w:name="_Toc145936714"/>
      <w:r w:rsidRPr="00AF1035">
        <w:t>Termin</w:t>
      </w:r>
      <w:r w:rsidRPr="00664B7D">
        <w:t xml:space="preserve"> i forma składania wniosku o dofinansowanie</w:t>
      </w:r>
      <w:bookmarkEnd w:id="16"/>
    </w:p>
    <w:p w14:paraId="3E22B04B" w14:textId="27B74283" w:rsidR="00630580" w:rsidRPr="00664B7D" w:rsidRDefault="00630580" w:rsidP="00D70AA0">
      <w:pPr>
        <w:pStyle w:val="TreNum-K"/>
        <w:numPr>
          <w:ilvl w:val="0"/>
          <w:numId w:val="25"/>
        </w:numPr>
      </w:pPr>
      <w:r w:rsidRPr="00D70AA0">
        <w:t>Nabór</w:t>
      </w:r>
      <w:r w:rsidRPr="00664B7D">
        <w:t xml:space="preserve"> ma charakter zamknięty i prowadzony będzie wyłącznie w formie elektronicznej </w:t>
      </w:r>
      <w:r w:rsidR="0044454F">
        <w:br/>
      </w:r>
      <w:r w:rsidRPr="00664B7D">
        <w:t>za pośrednictwem systemu SOWA EFS:</w:t>
      </w:r>
    </w:p>
    <w:p w14:paraId="53D2080F" w14:textId="0D901AC1" w:rsidR="00630580" w:rsidRPr="00664B7D" w:rsidRDefault="00630580" w:rsidP="00221D4E">
      <w:pPr>
        <w:spacing w:after="0"/>
        <w:ind w:left="426" w:hanging="426"/>
        <w:jc w:val="center"/>
        <w:rPr>
          <w:rFonts w:cs="Arial"/>
          <w:b/>
        </w:rPr>
      </w:pPr>
      <w:r w:rsidRPr="00664B7D">
        <w:rPr>
          <w:rFonts w:cs="Arial"/>
          <w:b/>
        </w:rPr>
        <w:t xml:space="preserve">od dnia </w:t>
      </w:r>
      <w:r w:rsidR="00B1463C" w:rsidRPr="00664B7D">
        <w:rPr>
          <w:rFonts w:cs="Arial"/>
          <w:b/>
        </w:rPr>
        <w:t>20.09.</w:t>
      </w:r>
      <w:r w:rsidRPr="00664B7D">
        <w:rPr>
          <w:rFonts w:cs="Arial"/>
          <w:b/>
        </w:rPr>
        <w:t>2023 r.</w:t>
      </w:r>
    </w:p>
    <w:p w14:paraId="3B8C06FC" w14:textId="77777777" w:rsidR="00630580" w:rsidRPr="00664B7D" w:rsidRDefault="00630580" w:rsidP="00221D4E">
      <w:pPr>
        <w:spacing w:after="0"/>
        <w:ind w:left="426" w:hanging="426"/>
        <w:jc w:val="center"/>
        <w:rPr>
          <w:rFonts w:cs="Arial"/>
          <w:bCs/>
        </w:rPr>
      </w:pPr>
      <w:r w:rsidRPr="00664B7D">
        <w:rPr>
          <w:rFonts w:cs="Arial"/>
          <w:bCs/>
        </w:rPr>
        <w:t>(otwarcie naboru – dzień rozpoczęcia naboru)</w:t>
      </w:r>
    </w:p>
    <w:p w14:paraId="05F4BBBB" w14:textId="67856C14" w:rsidR="00630580" w:rsidRPr="00664B7D" w:rsidRDefault="00630580" w:rsidP="00221D4E">
      <w:pPr>
        <w:spacing w:after="0"/>
        <w:ind w:left="426" w:hanging="426"/>
        <w:jc w:val="center"/>
        <w:rPr>
          <w:rFonts w:cs="Arial"/>
          <w:b/>
        </w:rPr>
      </w:pPr>
      <w:r w:rsidRPr="00664B7D">
        <w:rPr>
          <w:rFonts w:cs="Arial"/>
          <w:b/>
        </w:rPr>
        <w:t xml:space="preserve">do dnia </w:t>
      </w:r>
      <w:r w:rsidR="00F54D3C" w:rsidRPr="00664B7D">
        <w:rPr>
          <w:rFonts w:cs="Arial"/>
          <w:b/>
        </w:rPr>
        <w:t>3</w:t>
      </w:r>
      <w:r w:rsidR="00B1463C" w:rsidRPr="00664B7D">
        <w:rPr>
          <w:rFonts w:cs="Arial"/>
          <w:b/>
        </w:rPr>
        <w:t>.</w:t>
      </w:r>
      <w:r w:rsidR="00F54D3C" w:rsidRPr="00664B7D">
        <w:rPr>
          <w:rFonts w:cs="Arial"/>
          <w:b/>
        </w:rPr>
        <w:t>10</w:t>
      </w:r>
      <w:r w:rsidR="00B1463C" w:rsidRPr="00664B7D">
        <w:rPr>
          <w:rFonts w:cs="Arial"/>
          <w:b/>
        </w:rPr>
        <w:t>.</w:t>
      </w:r>
      <w:r w:rsidRPr="00664B7D">
        <w:rPr>
          <w:rFonts w:cs="Arial"/>
          <w:b/>
        </w:rPr>
        <w:t>2023 r.</w:t>
      </w:r>
    </w:p>
    <w:p w14:paraId="18D2A1AB" w14:textId="77777777" w:rsidR="00630580" w:rsidRPr="00664B7D" w:rsidRDefault="00630580" w:rsidP="00221D4E">
      <w:pPr>
        <w:spacing w:after="0"/>
        <w:ind w:left="426" w:hanging="426"/>
        <w:jc w:val="center"/>
        <w:rPr>
          <w:rFonts w:cs="Arial"/>
          <w:b/>
        </w:rPr>
      </w:pPr>
      <w:r w:rsidRPr="00664B7D">
        <w:rPr>
          <w:rFonts w:cs="Arial"/>
          <w:bCs/>
        </w:rPr>
        <w:t>(zamknięcie naboru – dzień zakończenia naboru)</w:t>
      </w:r>
    </w:p>
    <w:p w14:paraId="78A316DC" w14:textId="07F71473" w:rsidR="00C13876" w:rsidRPr="00D70AA0" w:rsidRDefault="00630580" w:rsidP="00D70AA0">
      <w:pPr>
        <w:pStyle w:val="TreNum-K"/>
        <w:numPr>
          <w:ilvl w:val="0"/>
          <w:numId w:val="25"/>
        </w:numPr>
      </w:pPr>
      <w:r w:rsidRPr="00D70AA0">
        <w:rPr>
          <w:rStyle w:val="markedcontent"/>
        </w:rPr>
        <w:t>Nabór rozpoczyna się w dniu udostępnienia formularza wniosku</w:t>
      </w:r>
      <w:r w:rsidRPr="00D70AA0">
        <w:t xml:space="preserve"> </w:t>
      </w:r>
      <w:r w:rsidRPr="00D70AA0">
        <w:rPr>
          <w:rStyle w:val="markedcontent"/>
        </w:rPr>
        <w:t>o dofinansowanie projektu w SOWA EFS w sposób umożliwiający składanie wniosków o dofinansowanie projektu</w:t>
      </w:r>
      <w:r w:rsidR="00C13876" w:rsidRPr="00D70AA0">
        <w:t xml:space="preserve"> i kończy z upływem ostatniego dnia.</w:t>
      </w:r>
    </w:p>
    <w:p w14:paraId="23B0DE99" w14:textId="2C903F4C" w:rsidR="00C13876" w:rsidRPr="00D70AA0" w:rsidRDefault="00C13876" w:rsidP="00D70AA0">
      <w:pPr>
        <w:pStyle w:val="TreNum-K"/>
        <w:numPr>
          <w:ilvl w:val="0"/>
          <w:numId w:val="25"/>
        </w:numPr>
      </w:pPr>
      <w:r w:rsidRPr="00D70AA0">
        <w:t xml:space="preserve">IZ nie przewiduje skracania terminu naboru. </w:t>
      </w:r>
    </w:p>
    <w:p w14:paraId="34D9045A" w14:textId="677DBF0C" w:rsidR="00675552" w:rsidRPr="00D70AA0" w:rsidRDefault="00675552" w:rsidP="00D70AA0">
      <w:pPr>
        <w:pStyle w:val="TreNum-K"/>
        <w:numPr>
          <w:ilvl w:val="0"/>
          <w:numId w:val="25"/>
        </w:numPr>
      </w:pPr>
      <w:r w:rsidRPr="00D70AA0">
        <w:t xml:space="preserve">ION przekazuje Regulamin wyboru projektów Wnioskodawcy znajdującemu się w „Wykazie zidentyfikowanych projektów wybieranych w trybie niekonkurencyjnym w ramach Programu Regionalnego na lata 2021-2027 Fundusze Europejskie dla Warmii i Mazur” </w:t>
      </w:r>
      <w:r w:rsidR="0044454F" w:rsidRPr="00D70AA0">
        <w:br/>
      </w:r>
      <w:r w:rsidRPr="00D70AA0">
        <w:t xml:space="preserve">za pośrednictwem systemu </w:t>
      </w:r>
      <w:proofErr w:type="spellStart"/>
      <w:r w:rsidRPr="00D70AA0">
        <w:t>ePUAP</w:t>
      </w:r>
      <w:proofErr w:type="spellEnd"/>
      <w:r w:rsidRPr="00D70AA0">
        <w:t xml:space="preserve"> lub pocztą tradycyjną w dniu rozpoczęcia naboru.</w:t>
      </w:r>
    </w:p>
    <w:p w14:paraId="164E9422" w14:textId="17283BBF" w:rsidR="00675552" w:rsidRPr="00D70AA0" w:rsidRDefault="00675552" w:rsidP="00D70AA0">
      <w:pPr>
        <w:pStyle w:val="TreNum-K"/>
        <w:numPr>
          <w:ilvl w:val="0"/>
          <w:numId w:val="25"/>
        </w:numPr>
      </w:pPr>
      <w:r w:rsidRPr="00D70AA0">
        <w:t xml:space="preserve">W przypadku niezłożenia wniosku o dofinansowanie w wyznaczonym terminie, ION wzywa do złożenia wniosku o dofinansowanie za pośrednictwem systemu </w:t>
      </w:r>
      <w:proofErr w:type="spellStart"/>
      <w:r w:rsidRPr="00D70AA0">
        <w:t>ePUAP</w:t>
      </w:r>
      <w:proofErr w:type="spellEnd"/>
      <w:r w:rsidRPr="00D70AA0">
        <w:t xml:space="preserve"> lub pocztą tradycyjną w terminie 7 dni. Termin na uzupełnienie dokumentów liczony jest od dnia następującego po dniu przekazania wezwania Wnioskodawcy.</w:t>
      </w:r>
    </w:p>
    <w:p w14:paraId="7D88BCEA" w14:textId="24AF156B" w:rsidR="00675552" w:rsidRPr="00D70AA0" w:rsidRDefault="00675552" w:rsidP="00D70AA0">
      <w:pPr>
        <w:pStyle w:val="TreNum-K"/>
        <w:numPr>
          <w:ilvl w:val="0"/>
          <w:numId w:val="25"/>
        </w:numPr>
      </w:pPr>
      <w:r w:rsidRPr="00D70AA0">
        <w:t>Nie złożenie wniosku o dofinansowanie w wyznaczonym terminie</w:t>
      </w:r>
      <w:r w:rsidR="00CA4AFF" w:rsidRPr="00D70AA0">
        <w:t>,</w:t>
      </w:r>
      <w:r w:rsidRPr="00D70AA0">
        <w:t xml:space="preserve"> może skutkować decyzj</w:t>
      </w:r>
      <w:r w:rsidR="00CA4AFF" w:rsidRPr="00D70AA0">
        <w:t>ą</w:t>
      </w:r>
      <w:r w:rsidRPr="00D70AA0">
        <w:t xml:space="preserve"> ION o rezygnacji z naboru wniosku.</w:t>
      </w:r>
    </w:p>
    <w:p w14:paraId="03BF6B01" w14:textId="77777777" w:rsidR="00C13876" w:rsidRPr="00D70AA0" w:rsidRDefault="00C13876" w:rsidP="00D70AA0">
      <w:pPr>
        <w:pStyle w:val="TreNum-K"/>
        <w:numPr>
          <w:ilvl w:val="0"/>
          <w:numId w:val="25"/>
        </w:numPr>
      </w:pPr>
      <w:r w:rsidRPr="00D70AA0">
        <w:t xml:space="preserve">W sytuacji problemów technicznych związanych z funkcjonowaniem systemu SOWA EFS, ION dopuszcza możliwość przedłużenia terminu naboru wniosków. Przedłużenie terminu naboru każdorazowo wiąże się ze zmianą Regulaminu. </w:t>
      </w:r>
    </w:p>
    <w:p w14:paraId="48261228" w14:textId="7B0ED99E" w:rsidR="00630580" w:rsidRPr="00D70AA0" w:rsidRDefault="00D6679F" w:rsidP="00D70AA0">
      <w:pPr>
        <w:pStyle w:val="TreNum-K"/>
        <w:numPr>
          <w:ilvl w:val="0"/>
          <w:numId w:val="25"/>
        </w:numPr>
      </w:pPr>
      <w:r w:rsidRPr="00D70AA0">
        <w:t xml:space="preserve">Wniosek w ramach naboru należy złożyć na obowiązującym formularzu, wyłącznie </w:t>
      </w:r>
      <w:r w:rsidR="002D615F" w:rsidRPr="00D70AA0">
        <w:br/>
      </w:r>
      <w:r w:rsidRPr="00D70AA0">
        <w:t>w formie elektronicznej za pośrednictwem SOWA EFS w ramach utworzonego przez ION naboru. Wniosek złożony w innej formie nie będzie podlegał ocenie.</w:t>
      </w:r>
    </w:p>
    <w:p w14:paraId="77935B66" w14:textId="77777777" w:rsidR="00630580" w:rsidRPr="00D70AA0" w:rsidRDefault="00D6679F" w:rsidP="00D70AA0">
      <w:pPr>
        <w:pStyle w:val="TreNum-K"/>
        <w:numPr>
          <w:ilvl w:val="0"/>
          <w:numId w:val="25"/>
        </w:numPr>
      </w:pPr>
      <w:r w:rsidRPr="00D70AA0">
        <w:t xml:space="preserve">Za datę wpływu wniosku o dofinansowanie należy uznać datę złożenia wersji elektronicznej wniosku w SOWA EFS. </w:t>
      </w:r>
    </w:p>
    <w:p w14:paraId="6C243FD1" w14:textId="77777777" w:rsidR="00C13876" w:rsidRPr="00D70AA0" w:rsidRDefault="006878D9" w:rsidP="00D70AA0">
      <w:pPr>
        <w:pStyle w:val="TreNum-K"/>
        <w:numPr>
          <w:ilvl w:val="0"/>
          <w:numId w:val="25"/>
        </w:numPr>
      </w:pPr>
      <w:r w:rsidRPr="00D70AA0">
        <w:t xml:space="preserve">Wniosek o dofinansowanie projektu należy opracować z wykorzystaniem generatora wniosków o dofinansowanie w SOWA EFS. Aplikacja dostępna jest za pośrednictwem strony internetowej SOWA EFS </w:t>
      </w:r>
      <w:r w:rsidR="00D94E5B" w:rsidRPr="00D70AA0">
        <w:t>(</w:t>
      </w:r>
      <w:hyperlink r:id="rId12" w:history="1">
        <w:r w:rsidR="00D94E5B" w:rsidRPr="00D70AA0">
          <w:t>https://sowa2021.efs.gov.pl/</w:t>
        </w:r>
      </w:hyperlink>
      <w:r w:rsidR="00D94E5B" w:rsidRPr="00D70AA0">
        <w:t xml:space="preserve">). </w:t>
      </w:r>
      <w:r w:rsidRPr="00D70AA0">
        <w:t xml:space="preserve">Instrukcja użytkownika </w:t>
      </w:r>
      <w:r w:rsidRPr="00D70AA0">
        <w:lastRenderedPageBreak/>
        <w:t>Systemu Obsługi Wniosków Aplikacyjnych Europejskiego Funduszu Społecznego (SOWA EFS) dla Wnioskodawców/</w:t>
      </w:r>
      <w:r w:rsidR="004E7203" w:rsidRPr="00D70AA0">
        <w:t xml:space="preserve"> </w:t>
      </w:r>
      <w:r w:rsidR="004D49ED" w:rsidRPr="00D70AA0">
        <w:t>B</w:t>
      </w:r>
      <w:r w:rsidRPr="00D70AA0">
        <w:t>eneficjentów dostępna je</w:t>
      </w:r>
      <w:r w:rsidR="001C316C" w:rsidRPr="00D70AA0">
        <w:t>st na ww. stronie internetowej.</w:t>
      </w:r>
    </w:p>
    <w:p w14:paraId="0267A413" w14:textId="2B0A9FE3" w:rsidR="00986FF1" w:rsidRPr="00192ECA" w:rsidRDefault="00806B17" w:rsidP="009F69DD">
      <w:pPr>
        <w:pStyle w:val="TreNum-K"/>
        <w:ind w:left="425"/>
      </w:pPr>
      <w:r w:rsidRPr="009F69DD">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UWAGA!</w:t>
      </w:r>
      <w:r w:rsidRPr="00664B7D">
        <w:t xml:space="preserve"> </w:t>
      </w:r>
      <w:r w:rsidRPr="006C369E">
        <w:t>Z</w:t>
      </w:r>
      <w:r w:rsidR="00FC7425" w:rsidRPr="006C369E">
        <w:t xml:space="preserve">ałącznikiem do wniosku o dofinansowanie projektu jest </w:t>
      </w:r>
      <w:r w:rsidR="00864967" w:rsidRPr="00664B7D">
        <w:t>R</w:t>
      </w:r>
      <w:r w:rsidR="00FC7425" w:rsidRPr="00664B7D">
        <w:t>egulamin udzielania grantów</w:t>
      </w:r>
      <w:r w:rsidR="0011040A">
        <w:t xml:space="preserve"> wraz z załącznikami</w:t>
      </w:r>
      <w:r w:rsidR="00FC7425" w:rsidRPr="00664B7D">
        <w:t>, który podlega ocenie Komisji Oceny Projektów (szczegóły dotyczące przygotowania ww. dokumentu zostały przedstawione w podrozdziale 3.4.).</w:t>
      </w:r>
      <w:r w:rsidR="003C08B3" w:rsidRPr="003C08B3">
        <w:t xml:space="preserve"> Dokument należy złożyć w</w:t>
      </w:r>
      <w:r w:rsidR="003C08B3">
        <w:t xml:space="preserve"> terminie wskazanym w pkt.1, w </w:t>
      </w:r>
      <w:r w:rsidR="003C08B3" w:rsidRPr="003C08B3">
        <w:t xml:space="preserve"> formie</w:t>
      </w:r>
      <w:r w:rsidR="003C08B3">
        <w:t xml:space="preserve"> elektronicznej opatrzony podpisem kwalifikowalnym, za pośrednictwem SOWA EFS.</w:t>
      </w:r>
    </w:p>
    <w:p w14:paraId="451E4DA1" w14:textId="6201EFA7" w:rsidR="00483DE8" w:rsidRDefault="00483DE8" w:rsidP="00AF1035">
      <w:pPr>
        <w:pStyle w:val="Podrozdzia-K"/>
      </w:pPr>
      <w:bookmarkStart w:id="17" w:name="_Toc145936715"/>
      <w:r>
        <w:t>Wycofanie wniosku</w:t>
      </w:r>
      <w:bookmarkEnd w:id="17"/>
    </w:p>
    <w:p w14:paraId="6E8F9F0C" w14:textId="4A596854" w:rsidR="00483DE8" w:rsidRDefault="00483DE8" w:rsidP="00F15960">
      <w:pPr>
        <w:pStyle w:val="TreNum-K"/>
        <w:numPr>
          <w:ilvl w:val="0"/>
          <w:numId w:val="61"/>
        </w:numPr>
      </w:pPr>
      <w:r w:rsidRPr="00414EAB">
        <w:t>Przed przesłaniem do ION</w:t>
      </w:r>
    </w:p>
    <w:p w14:paraId="16D58BBE" w14:textId="77777777" w:rsidR="00483DE8" w:rsidRDefault="00483DE8" w:rsidP="00483DE8">
      <w:pPr>
        <w:rPr>
          <w:rFonts w:ascii="Calibri" w:hAnsi="Calibri" w:cs="Calibri"/>
        </w:rPr>
      </w:pPr>
      <w:r>
        <w:t xml:space="preserve">Wnioskodawca posiada możliwość samodzielnego anulowania projektu (opcja: „Projekty organizacji” =&gt;„Trzy kropki” (prawy górny róg w menu danego projektu)=&gt;„Anuluj projekt”=&gt;potwierdź „Anulowanie projektu”). Następnie Wnioskodawca posiada możliwość </w:t>
      </w:r>
      <w:r>
        <w:rPr>
          <w:b/>
          <w:bCs/>
        </w:rPr>
        <w:t>usunięcia swojego projektu</w:t>
      </w:r>
      <w:r>
        <w:t xml:space="preserve"> z systemu, ale tylko do momentu wysłania wniosku do instytucji. Aby usunąć projekt należy skorzystać z funkcji </w:t>
      </w:r>
      <w:r>
        <w:rPr>
          <w:i/>
          <w:iCs/>
        </w:rPr>
        <w:t xml:space="preserve">„Usuń projekt” </w:t>
      </w:r>
      <w:r>
        <w:t xml:space="preserve">dostępnej w menu projektu. Operacja </w:t>
      </w:r>
      <w:r>
        <w:rPr>
          <w:b/>
          <w:bCs/>
        </w:rPr>
        <w:t xml:space="preserve">usunięcia </w:t>
      </w:r>
      <w:r>
        <w:t xml:space="preserve">posiada charakter </w:t>
      </w:r>
      <w:r>
        <w:rPr>
          <w:b/>
          <w:bCs/>
        </w:rPr>
        <w:t>nieodwracalny.</w:t>
      </w:r>
    </w:p>
    <w:p w14:paraId="7B9FC695" w14:textId="23E54DCB" w:rsidR="00483DE8" w:rsidRDefault="00483DE8" w:rsidP="00F15960">
      <w:pPr>
        <w:pStyle w:val="TreNum-K"/>
        <w:numPr>
          <w:ilvl w:val="0"/>
          <w:numId w:val="61"/>
        </w:numPr>
      </w:pPr>
      <w:r>
        <w:t>Po przesłaniu do ION</w:t>
      </w:r>
    </w:p>
    <w:p w14:paraId="3B923CCA" w14:textId="77777777" w:rsidR="00483DE8" w:rsidRPr="00483DE8" w:rsidRDefault="00483DE8" w:rsidP="00483DE8">
      <w:pPr>
        <w:spacing w:after="0"/>
        <w:rPr>
          <w:rFonts w:cs="Arial"/>
        </w:rPr>
      </w:pPr>
      <w:r w:rsidRPr="00483DE8">
        <w:rPr>
          <w:rFonts w:cs="Arial"/>
        </w:rPr>
        <w:t xml:space="preserve">Po wysłaniu wniosku do Instytucji Organizującej Nabór istnieje możliwość </w:t>
      </w:r>
      <w:r w:rsidRPr="00483DE8">
        <w:rPr>
          <w:rStyle w:val="markedcontent"/>
          <w:rFonts w:cs="Arial"/>
        </w:rPr>
        <w:t>rezygnacji z ubiegania się o dofinansowanie projektu</w:t>
      </w:r>
      <w:r w:rsidRPr="00483DE8">
        <w:rPr>
          <w:rFonts w:cs="Arial"/>
        </w:rPr>
        <w:t xml:space="preserve"> (wg poniższej procedury): </w:t>
      </w:r>
    </w:p>
    <w:p w14:paraId="3FF9B205" w14:textId="40ADFDFF" w:rsidR="00483DE8" w:rsidRPr="00483DE8" w:rsidRDefault="00483DE8" w:rsidP="00F15960">
      <w:pPr>
        <w:pStyle w:val="TreNum-K"/>
        <w:numPr>
          <w:ilvl w:val="0"/>
          <w:numId w:val="60"/>
        </w:numPr>
        <w:adjustRightInd/>
        <w:rPr>
          <w:rStyle w:val="markedcontent"/>
        </w:rPr>
      </w:pPr>
      <w:r>
        <w:rPr>
          <w:rStyle w:val="markedcontent"/>
        </w:rPr>
        <w:t>k</w:t>
      </w:r>
      <w:r w:rsidRPr="00483DE8">
        <w:rPr>
          <w:rStyle w:val="markedcontent"/>
        </w:rPr>
        <w:t xml:space="preserve">ażdemu Wnioskodawcy przysługuje prawo rezygnacji z ubiegania się o dofinansowanie złożonego przez siebie projektu od momentu złożenia (przesłania) wniosku o dofinansowanie projektu do momentu zawarcia umowy o dofinansowanie projektu, informując o swojej decyzji ION </w:t>
      </w:r>
      <w:r w:rsidRPr="00483DE8">
        <w:rPr>
          <w:rStyle w:val="markedcontent"/>
          <w:b/>
          <w:bCs/>
        </w:rPr>
        <w:t>wyłącznie za pośrednictwem systemu SOWA EFS</w:t>
      </w:r>
      <w:r>
        <w:rPr>
          <w:rStyle w:val="markedcontent"/>
        </w:rPr>
        <w:t>;</w:t>
      </w:r>
    </w:p>
    <w:p w14:paraId="2D95499C" w14:textId="37F046C8" w:rsidR="00483DE8" w:rsidRPr="00483DE8" w:rsidRDefault="00483DE8" w:rsidP="00F15960">
      <w:pPr>
        <w:pStyle w:val="TreNum-K"/>
        <w:numPr>
          <w:ilvl w:val="0"/>
          <w:numId w:val="60"/>
        </w:numPr>
        <w:adjustRightInd/>
        <w:rPr>
          <w:rStyle w:val="markedcontent"/>
        </w:rPr>
      </w:pPr>
      <w:r>
        <w:rPr>
          <w:rStyle w:val="markedcontent"/>
        </w:rPr>
        <w:t>z</w:t>
      </w:r>
      <w:r w:rsidRPr="00483DE8">
        <w:rPr>
          <w:rStyle w:val="markedcontent"/>
        </w:rPr>
        <w:t>łożenie lub przesłanie informacji o rezygnacji z ubiegania się o dofinansowanie projektu w innej formie niż wyżej wskazana (np. w formie wiadomości e-mail) będzie nieskuteczne</w:t>
      </w:r>
      <w:r>
        <w:rPr>
          <w:rStyle w:val="markedcontent"/>
        </w:rPr>
        <w:t>;</w:t>
      </w:r>
    </w:p>
    <w:p w14:paraId="5335A523" w14:textId="5BF5F36A" w:rsidR="00483DE8" w:rsidRPr="00483DE8" w:rsidRDefault="00483DE8" w:rsidP="00F15960">
      <w:pPr>
        <w:pStyle w:val="TreNum-K"/>
        <w:numPr>
          <w:ilvl w:val="0"/>
          <w:numId w:val="60"/>
        </w:numPr>
        <w:adjustRightInd/>
        <w:rPr>
          <w:rStyle w:val="markedcontent"/>
        </w:rPr>
      </w:pPr>
      <w:r>
        <w:rPr>
          <w:rStyle w:val="markedcontent"/>
        </w:rPr>
        <w:t>i</w:t>
      </w:r>
      <w:r w:rsidRPr="00483DE8">
        <w:rPr>
          <w:rStyle w:val="markedcontent"/>
        </w:rPr>
        <w:t>nformacja o rezygnacji z ubiegania się o dofinansowanie projektu powinna zawierać:</w:t>
      </w:r>
    </w:p>
    <w:p w14:paraId="4C0D03C9" w14:textId="77777777" w:rsidR="00483DE8" w:rsidRPr="00483DE8" w:rsidRDefault="00483DE8" w:rsidP="00483DE8">
      <w:pPr>
        <w:pStyle w:val="TreNum-K"/>
        <w:ind w:left="357"/>
        <w:rPr>
          <w:rStyle w:val="markedcontent"/>
        </w:rPr>
      </w:pPr>
      <w:r w:rsidRPr="00483DE8">
        <w:rPr>
          <w:rStyle w:val="markedcontent"/>
        </w:rPr>
        <w:t>− jednoznaczną deklarację woli rezygnacji z ubiegania się o dofinansowanie projektu,</w:t>
      </w:r>
    </w:p>
    <w:p w14:paraId="2A570838" w14:textId="77777777" w:rsidR="00483DE8" w:rsidRPr="00483DE8" w:rsidRDefault="00483DE8" w:rsidP="00483DE8">
      <w:pPr>
        <w:pStyle w:val="TreNum-K"/>
        <w:ind w:left="357"/>
        <w:rPr>
          <w:rStyle w:val="markedcontent"/>
        </w:rPr>
      </w:pPr>
      <w:r w:rsidRPr="00483DE8">
        <w:rPr>
          <w:rStyle w:val="markedcontent"/>
        </w:rPr>
        <w:t>− numer naboru, nr projektu, tytuł projektu i datę złożenia projektu,</w:t>
      </w:r>
    </w:p>
    <w:p w14:paraId="67E309C8" w14:textId="4F70ADEF" w:rsidR="00483DE8" w:rsidRPr="00483DE8" w:rsidRDefault="00483DE8" w:rsidP="00483DE8">
      <w:pPr>
        <w:pStyle w:val="TreNum-K"/>
        <w:ind w:left="357"/>
        <w:rPr>
          <w:rStyle w:val="markedcontent"/>
        </w:rPr>
      </w:pPr>
      <w:r w:rsidRPr="00483DE8">
        <w:rPr>
          <w:rStyle w:val="markedcontent"/>
        </w:rPr>
        <w:t>− pełną nazwę i adres Wnioskodawcy</w:t>
      </w:r>
      <w:r>
        <w:rPr>
          <w:rStyle w:val="markedcontent"/>
        </w:rPr>
        <w:t>;</w:t>
      </w:r>
    </w:p>
    <w:p w14:paraId="0BFB3BC4" w14:textId="77777777" w:rsidR="00483DE8" w:rsidRPr="00483DE8" w:rsidRDefault="00483DE8" w:rsidP="00F15960">
      <w:pPr>
        <w:pStyle w:val="TreNum-K"/>
        <w:numPr>
          <w:ilvl w:val="0"/>
          <w:numId w:val="60"/>
        </w:numPr>
        <w:adjustRightInd/>
        <w:rPr>
          <w:rStyle w:val="markedcontent"/>
        </w:rPr>
      </w:pPr>
      <w:r w:rsidRPr="00483DE8">
        <w:rPr>
          <w:rStyle w:val="markedcontent"/>
        </w:rPr>
        <w:t>ION dokonuje odpowiednich zmian statusu projektu w systemie SOWA EFS. Nie ma możliwości trwałego usunięcia projektu, który został przesłany do ION.</w:t>
      </w:r>
    </w:p>
    <w:p w14:paraId="040795A8" w14:textId="77777777" w:rsidR="00483DE8" w:rsidRPr="00483DE8" w:rsidRDefault="00483DE8" w:rsidP="00483DE8">
      <w:pPr>
        <w:pStyle w:val="TreNum-K"/>
      </w:pPr>
      <w:r w:rsidRPr="00483DE8">
        <w:lastRenderedPageBreak/>
        <w:t xml:space="preserve">W przypadku </w:t>
      </w:r>
      <w:r w:rsidRPr="00483DE8">
        <w:rPr>
          <w:rStyle w:val="markedcontent"/>
        </w:rPr>
        <w:t>rezygnacji z ubiegania się o dofinansowanie</w:t>
      </w:r>
      <w:r w:rsidRPr="00483DE8">
        <w:t xml:space="preserve"> projektów przez wszystkich Wnioskodawców, ION dokonuje </w:t>
      </w:r>
      <w:r w:rsidRPr="00483DE8">
        <w:rPr>
          <w:b/>
          <w:bCs/>
        </w:rPr>
        <w:t>unieważnienia naboru</w:t>
      </w:r>
      <w:r w:rsidRPr="00483DE8">
        <w:t xml:space="preserve">. Właściwa instytucja informuje o tym na swojej stronie internetowej i na portalu. </w:t>
      </w:r>
    </w:p>
    <w:p w14:paraId="1DF00124" w14:textId="70774532" w:rsidR="00414EAB" w:rsidRPr="00414EAB" w:rsidRDefault="00483DE8" w:rsidP="00414EAB">
      <w:pPr>
        <w:pStyle w:val="TreNum-K"/>
        <w:rPr>
          <w:b/>
          <w:bCs/>
        </w:rPr>
      </w:pPr>
      <w:r w:rsidRPr="00483DE8">
        <w:rPr>
          <w:b/>
          <w:bCs/>
        </w:rPr>
        <w:t xml:space="preserve">Uwaga: W przypadku gdy Wnioskodawca </w:t>
      </w:r>
      <w:r w:rsidRPr="00483DE8">
        <w:rPr>
          <w:b/>
          <w:bCs/>
          <w:u w:val="single"/>
        </w:rPr>
        <w:t>samodzielnie anuluje projekt po przesłaniu go do ION,</w:t>
      </w:r>
      <w:r w:rsidRPr="00483DE8">
        <w:rPr>
          <w:b/>
          <w:bCs/>
        </w:rPr>
        <w:t xml:space="preserve"> wznowienie anulowanego projektu odbywa się wyłącznie za zgodą ION.</w:t>
      </w:r>
    </w:p>
    <w:p w14:paraId="13FC3D08" w14:textId="77777777" w:rsidR="00414EAB" w:rsidRDefault="00414EAB">
      <w:pPr>
        <w:spacing w:line="259" w:lineRule="auto"/>
        <w:rPr>
          <w:rFonts w:eastAsia="Calibri" w:cs="Arial"/>
          <w:b/>
          <w:sz w:val="24"/>
          <w:szCs w:val="24"/>
        </w:rPr>
      </w:pPr>
      <w:r>
        <w:br w:type="page"/>
      </w:r>
    </w:p>
    <w:p w14:paraId="387974B5" w14:textId="1B68867D" w:rsidR="00D6679F" w:rsidRPr="00664B7D" w:rsidRDefault="00E15D13" w:rsidP="00AF1035">
      <w:pPr>
        <w:pStyle w:val="Rozdzia-K"/>
      </w:pPr>
      <w:bookmarkStart w:id="18" w:name="_Toc145936716"/>
      <w:r w:rsidRPr="00AF1035">
        <w:lastRenderedPageBreak/>
        <w:t>Wymagania</w:t>
      </w:r>
      <w:r w:rsidRPr="00664B7D">
        <w:t xml:space="preserve"> dotyczące projektu</w:t>
      </w:r>
      <w:bookmarkEnd w:id="18"/>
    </w:p>
    <w:p w14:paraId="267F1C8C" w14:textId="77777777" w:rsidR="00D6679F" w:rsidRPr="00664B7D" w:rsidRDefault="00D6679F" w:rsidP="00AF1035">
      <w:pPr>
        <w:pStyle w:val="Podrozdzia-K"/>
      </w:pPr>
      <w:bookmarkStart w:id="19" w:name="_Toc145936717"/>
      <w:r w:rsidRPr="00AF1035">
        <w:t>Podmioty</w:t>
      </w:r>
      <w:r w:rsidRPr="00664B7D">
        <w:t xml:space="preserve"> uprawnione do ubiegania się o dofinansowanie</w:t>
      </w:r>
      <w:r w:rsidR="00E15D13" w:rsidRPr="00664B7D">
        <w:t xml:space="preserve"> (Wnioskodawca)</w:t>
      </w:r>
      <w:bookmarkEnd w:id="19"/>
    </w:p>
    <w:p w14:paraId="7576E3B3" w14:textId="64F2718F" w:rsidR="00C873BD" w:rsidRPr="00664B7D" w:rsidRDefault="00E33CE3">
      <w:pPr>
        <w:spacing w:after="0"/>
        <w:rPr>
          <w:bCs/>
        </w:rPr>
      </w:pPr>
      <w:r w:rsidRPr="00664B7D">
        <w:rPr>
          <w:rFonts w:cs="Arial"/>
          <w:bCs/>
        </w:rPr>
        <w:t>Podmiotem uprawnionym</w:t>
      </w:r>
      <w:r w:rsidR="00DA6D54" w:rsidRPr="00664B7D">
        <w:rPr>
          <w:bCs/>
        </w:rPr>
        <w:t xml:space="preserve"> do ubiegania się o dofinansowanie </w:t>
      </w:r>
      <w:r w:rsidR="001C316C" w:rsidRPr="00664B7D">
        <w:rPr>
          <w:bCs/>
        </w:rPr>
        <w:t>w ramach przedmiotowego naboru</w:t>
      </w:r>
      <w:r w:rsidR="00DA6D54" w:rsidRPr="00664B7D">
        <w:rPr>
          <w:bCs/>
        </w:rPr>
        <w:t xml:space="preserve"> jest </w:t>
      </w:r>
      <w:r w:rsidRPr="00664B7D">
        <w:rPr>
          <w:bCs/>
        </w:rPr>
        <w:t xml:space="preserve">Województwo Warmińsko-Mazurskie, </w:t>
      </w:r>
      <w:r w:rsidR="00A50A66" w:rsidRPr="00664B7D">
        <w:rPr>
          <w:bCs/>
        </w:rPr>
        <w:t>Urz</w:t>
      </w:r>
      <w:r w:rsidR="0028694E">
        <w:rPr>
          <w:bCs/>
        </w:rPr>
        <w:t>ą</w:t>
      </w:r>
      <w:r w:rsidR="00A50A66" w:rsidRPr="00664B7D">
        <w:rPr>
          <w:bCs/>
        </w:rPr>
        <w:t xml:space="preserve">d Marszałkowski Województwa Warmińsko-Mazurskiego w Olsztynie - </w:t>
      </w:r>
      <w:r w:rsidR="00DA6D54" w:rsidRPr="00664B7D">
        <w:rPr>
          <w:bCs/>
        </w:rPr>
        <w:t xml:space="preserve">Biuro Dialogu </w:t>
      </w:r>
      <w:r w:rsidR="002A1713" w:rsidRPr="00664B7D">
        <w:rPr>
          <w:bCs/>
        </w:rPr>
        <w:t xml:space="preserve">Społecznego </w:t>
      </w:r>
      <w:r w:rsidR="00DA6D54" w:rsidRPr="00664B7D">
        <w:rPr>
          <w:bCs/>
        </w:rPr>
        <w:t>i Pożytku Publicznego</w:t>
      </w:r>
      <w:r w:rsidR="001114A6" w:rsidRPr="00664B7D">
        <w:rPr>
          <w:bCs/>
        </w:rPr>
        <w:t>, zwane dalej Wnioskodawcą.</w:t>
      </w:r>
    </w:p>
    <w:p w14:paraId="6D0A36BF" w14:textId="77777777" w:rsidR="001C316C" w:rsidRPr="00664B7D" w:rsidRDefault="001C316C" w:rsidP="00AF1035">
      <w:pPr>
        <w:pStyle w:val="Podrozdzia-K"/>
      </w:pPr>
      <w:bookmarkStart w:id="20" w:name="_Toc145936718"/>
      <w:r w:rsidRPr="00AF1035">
        <w:t>Okres</w:t>
      </w:r>
      <w:r w:rsidRPr="00664B7D">
        <w:t xml:space="preserve"> realizacji projektu</w:t>
      </w:r>
      <w:bookmarkEnd w:id="20"/>
    </w:p>
    <w:p w14:paraId="3BE32CCE" w14:textId="5D17D38D" w:rsidR="00C873BD" w:rsidRPr="00664B7D" w:rsidRDefault="001C316C">
      <w:pPr>
        <w:pStyle w:val="TreNum-K"/>
        <w:rPr>
          <w:b/>
          <w:bCs/>
        </w:rPr>
      </w:pPr>
      <w:r w:rsidRPr="00664B7D">
        <w:t xml:space="preserve">Zakładany okres realizacji projektu powinien mieścić się w przedziale </w:t>
      </w:r>
      <w:r w:rsidRPr="00996A70">
        <w:rPr>
          <w:b/>
          <w:bCs/>
        </w:rPr>
        <w:t>od 1</w:t>
      </w:r>
      <w:r w:rsidR="00AA02BB" w:rsidRPr="00996A70">
        <w:rPr>
          <w:b/>
          <w:bCs/>
        </w:rPr>
        <w:t xml:space="preserve"> listopada</w:t>
      </w:r>
      <w:r w:rsidRPr="00996A70">
        <w:rPr>
          <w:b/>
          <w:bCs/>
        </w:rPr>
        <w:t xml:space="preserve"> 2023 r.</w:t>
      </w:r>
      <w:r w:rsidRPr="00664B7D">
        <w:rPr>
          <w:b/>
          <w:bCs/>
        </w:rPr>
        <w:t xml:space="preserve"> do 3</w:t>
      </w:r>
      <w:r w:rsidR="00AA02BB" w:rsidRPr="00664B7D">
        <w:rPr>
          <w:b/>
          <w:bCs/>
        </w:rPr>
        <w:t>0 czerwca</w:t>
      </w:r>
      <w:r w:rsidRPr="00664B7D">
        <w:rPr>
          <w:b/>
          <w:bCs/>
        </w:rPr>
        <w:t xml:space="preserve"> 202</w:t>
      </w:r>
      <w:r w:rsidR="00AA02BB" w:rsidRPr="00664B7D">
        <w:rPr>
          <w:b/>
          <w:bCs/>
        </w:rPr>
        <w:t xml:space="preserve">8 </w:t>
      </w:r>
      <w:r w:rsidRPr="00664B7D">
        <w:rPr>
          <w:b/>
          <w:bCs/>
        </w:rPr>
        <w:t>r.</w:t>
      </w:r>
    </w:p>
    <w:p w14:paraId="153AB893" w14:textId="77777777" w:rsidR="00D918C0" w:rsidRPr="00664B7D" w:rsidRDefault="00E15D13" w:rsidP="00AF1035">
      <w:pPr>
        <w:pStyle w:val="Podrozdzia-K"/>
      </w:pPr>
      <w:bookmarkStart w:id="21" w:name="_Toc145936719"/>
      <w:r w:rsidRPr="00AF1035">
        <w:t>Grupa</w:t>
      </w:r>
      <w:r w:rsidRPr="00664B7D">
        <w:t xml:space="preserve"> docelowa</w:t>
      </w:r>
      <w:bookmarkEnd w:id="21"/>
    </w:p>
    <w:p w14:paraId="08C79BCC" w14:textId="77777777" w:rsidR="00C80724" w:rsidRPr="00664B7D" w:rsidRDefault="00C80724">
      <w:pPr>
        <w:spacing w:after="0"/>
        <w:rPr>
          <w:rFonts w:cs="Arial"/>
          <w:bCs/>
        </w:rPr>
      </w:pPr>
      <w:r w:rsidRPr="00664B7D">
        <w:rPr>
          <w:rFonts w:cs="Arial"/>
          <w:bCs/>
        </w:rPr>
        <w:t xml:space="preserve">Wsparcie zaplanowane w projekcie musi być skierowane bezpośrednio do następującej grupy odbiorców: </w:t>
      </w:r>
    </w:p>
    <w:p w14:paraId="6CB0A405" w14:textId="688C8749" w:rsidR="00C873BD" w:rsidRPr="00664B7D" w:rsidRDefault="00F350C0" w:rsidP="00F15960">
      <w:pPr>
        <w:pStyle w:val="Akapitzlist"/>
        <w:numPr>
          <w:ilvl w:val="0"/>
          <w:numId w:val="39"/>
        </w:numPr>
        <w:spacing w:after="0"/>
        <w:rPr>
          <w:rFonts w:cs="Arial"/>
          <w:bCs/>
        </w:rPr>
      </w:pPr>
      <w:r w:rsidRPr="00664B7D">
        <w:rPr>
          <w:rFonts w:cs="Arial"/>
          <w:bCs/>
        </w:rPr>
        <w:t>partnerzy społeczni, tj. uczestnicy dialogu społecznego – organizacje związkowe i organizacje pracodawców;</w:t>
      </w:r>
    </w:p>
    <w:p w14:paraId="291E0071" w14:textId="11755546" w:rsidR="00F350C0" w:rsidRPr="00664B7D" w:rsidRDefault="00F350C0" w:rsidP="00F15960">
      <w:pPr>
        <w:pStyle w:val="Akapitzlist"/>
        <w:numPr>
          <w:ilvl w:val="0"/>
          <w:numId w:val="39"/>
        </w:numPr>
        <w:spacing w:after="0"/>
        <w:rPr>
          <w:rFonts w:cs="Arial"/>
          <w:bCs/>
        </w:rPr>
      </w:pPr>
      <w:r w:rsidRPr="00664B7D">
        <w:rPr>
          <w:rFonts w:cs="Arial"/>
          <w:bCs/>
        </w:rPr>
        <w:t>organizacje społeczeństwa obywatelskiego;</w:t>
      </w:r>
    </w:p>
    <w:p w14:paraId="5D550E3C" w14:textId="31C2AAF9" w:rsidR="00F350C0" w:rsidRPr="00664B7D" w:rsidRDefault="00F350C0" w:rsidP="00F15960">
      <w:pPr>
        <w:pStyle w:val="Akapitzlist"/>
        <w:numPr>
          <w:ilvl w:val="0"/>
          <w:numId w:val="39"/>
        </w:numPr>
        <w:spacing w:after="0"/>
        <w:rPr>
          <w:rFonts w:cs="Arial"/>
          <w:bCs/>
        </w:rPr>
      </w:pPr>
      <w:r w:rsidRPr="00664B7D">
        <w:rPr>
          <w:rFonts w:cs="Arial"/>
          <w:bCs/>
        </w:rPr>
        <w:t>członkowie, wolontariusze, pracownicy (etatowi i na umowy tymczasowe) podmiotów wymienionych w pkt. 1 i 2.</w:t>
      </w:r>
    </w:p>
    <w:p w14:paraId="1425DA51" w14:textId="25A36F2A" w:rsidR="00F350C0" w:rsidRPr="00664B7D" w:rsidRDefault="00F350C0">
      <w:pPr>
        <w:spacing w:after="0"/>
        <w:rPr>
          <w:rFonts w:cs="Arial"/>
          <w:bCs/>
        </w:rPr>
      </w:pPr>
      <w:r w:rsidRPr="00664B7D">
        <w:rPr>
          <w:rFonts w:cs="Arial"/>
          <w:bCs/>
        </w:rPr>
        <w:t>Beneficjentem Projektu Wsparcia może być każdy w/w podmiot działający w województwie warmińsko-mazurskim i mający na jego terenie siedzibę (dot. to również oddziałów terenowych).</w:t>
      </w:r>
    </w:p>
    <w:p w14:paraId="7488F5E9" w14:textId="22537A7C" w:rsidR="00E96032" w:rsidRPr="00664B7D" w:rsidRDefault="00E96032" w:rsidP="00AF1035">
      <w:pPr>
        <w:pStyle w:val="Podrozdzia-K"/>
      </w:pPr>
      <w:bookmarkStart w:id="22" w:name="_Toc145936720"/>
      <w:r w:rsidRPr="00AF1035">
        <w:t>Wymagania</w:t>
      </w:r>
      <w:r w:rsidRPr="00664B7D">
        <w:t xml:space="preserve"> dotyczące</w:t>
      </w:r>
      <w:r w:rsidR="004D1B9B" w:rsidRPr="00664B7D">
        <w:t xml:space="preserve"> realizacji</w:t>
      </w:r>
      <w:r w:rsidRPr="00664B7D">
        <w:t xml:space="preserve"> projektu grantowego</w:t>
      </w:r>
      <w:bookmarkEnd w:id="22"/>
    </w:p>
    <w:p w14:paraId="2BEED1C9" w14:textId="43848549" w:rsidR="009A501D" w:rsidRDefault="009A501D" w:rsidP="00F15960">
      <w:pPr>
        <w:pStyle w:val="Akapitzlist"/>
        <w:numPr>
          <w:ilvl w:val="0"/>
          <w:numId w:val="51"/>
        </w:numPr>
        <w:spacing w:after="0"/>
        <w:ind w:left="425" w:hanging="425"/>
      </w:pPr>
      <w:r>
        <w:t>Zaplanowane w projekcie działania muszą być zgodne z podstawowymi warunkami wsparcia określonymi w SZOP tj.:</w:t>
      </w:r>
    </w:p>
    <w:p w14:paraId="3AC418B9" w14:textId="7B7216E4" w:rsidR="009A501D" w:rsidRDefault="00110127" w:rsidP="00F15960">
      <w:pPr>
        <w:pStyle w:val="TreNum-K"/>
        <w:numPr>
          <w:ilvl w:val="0"/>
          <w:numId w:val="50"/>
        </w:numPr>
        <w:ind w:left="425" w:hanging="425"/>
      </w:pPr>
      <w:r>
        <w:t>z</w:t>
      </w:r>
      <w:r w:rsidR="009A501D">
        <w:t>godne ze Zintegrowaną Strategią Umiejętności 2030 (ZSU 2030);</w:t>
      </w:r>
    </w:p>
    <w:p w14:paraId="0FF53911" w14:textId="090B5032" w:rsidR="009A501D" w:rsidRDefault="00110127" w:rsidP="00F15960">
      <w:pPr>
        <w:pStyle w:val="TreNum-K"/>
        <w:numPr>
          <w:ilvl w:val="0"/>
          <w:numId w:val="50"/>
        </w:numPr>
        <w:ind w:left="425" w:hanging="425"/>
      </w:pPr>
      <w:r>
        <w:t>z</w:t>
      </w:r>
      <w:r w:rsidR="009A501D">
        <w:t xml:space="preserve">godne z </w:t>
      </w:r>
      <w:r w:rsidR="009A501D" w:rsidRPr="00110127">
        <w:rPr>
          <w:i/>
          <w:iCs/>
        </w:rPr>
        <w:t>Wytycznymi dotyczącymi realizacji projektów z udziałem środków Europejskiego Funduszu Społecznego Plus w regionalnych programach operacyjnych na lata 2021-2027</w:t>
      </w:r>
      <w:r w:rsidR="009A501D">
        <w:t xml:space="preserve"> – w obszarze zasad dotyczących wsparcia w ramach CS G;</w:t>
      </w:r>
    </w:p>
    <w:p w14:paraId="4D9AFC12" w14:textId="41FEA279" w:rsidR="009A501D" w:rsidRDefault="009A501D" w:rsidP="00F15960">
      <w:pPr>
        <w:pStyle w:val="TreNum-K"/>
        <w:numPr>
          <w:ilvl w:val="0"/>
          <w:numId w:val="50"/>
        </w:numPr>
        <w:ind w:left="425" w:hanging="425"/>
      </w:pPr>
      <w:r>
        <w:t>nie mogą powielać działań zaplanowanych na poziomie krajowym;</w:t>
      </w:r>
    </w:p>
    <w:p w14:paraId="53964174" w14:textId="257C7FA1" w:rsidR="009A501D" w:rsidRDefault="009A501D" w:rsidP="00F15960">
      <w:pPr>
        <w:pStyle w:val="TreNum-K"/>
        <w:numPr>
          <w:ilvl w:val="0"/>
          <w:numId w:val="50"/>
        </w:numPr>
        <w:ind w:left="425" w:hanging="425"/>
      </w:pPr>
      <w:r>
        <w:t>uwzględniają budowanie postaw proekologicznych.</w:t>
      </w:r>
    </w:p>
    <w:p w14:paraId="3594DF41" w14:textId="18C07FAD" w:rsidR="00510CB3" w:rsidRPr="00664B7D" w:rsidRDefault="00510CB3" w:rsidP="00F15960">
      <w:pPr>
        <w:pStyle w:val="Akapitzlist"/>
        <w:numPr>
          <w:ilvl w:val="0"/>
          <w:numId w:val="51"/>
        </w:numPr>
        <w:spacing w:after="0"/>
        <w:ind w:left="425" w:hanging="425"/>
      </w:pPr>
      <w:r w:rsidRPr="00664B7D">
        <w:t xml:space="preserve">W ramach </w:t>
      </w:r>
      <w:r w:rsidR="00806B17" w:rsidRPr="00664B7D">
        <w:t>projektu</w:t>
      </w:r>
      <w:r w:rsidRPr="00664B7D">
        <w:t xml:space="preserve"> realizowane będą dwie ścieżki wsparcia:</w:t>
      </w:r>
    </w:p>
    <w:p w14:paraId="63E7FA31" w14:textId="0088ED80" w:rsidR="00510CB3" w:rsidRPr="00664B7D" w:rsidRDefault="00E40F54" w:rsidP="00F15960">
      <w:pPr>
        <w:pStyle w:val="TreNum-K"/>
        <w:numPr>
          <w:ilvl w:val="0"/>
          <w:numId w:val="50"/>
        </w:numPr>
        <w:ind w:left="425" w:hanging="425"/>
      </w:pPr>
      <w:r w:rsidRPr="00664B7D">
        <w:lastRenderedPageBreak/>
        <w:t>wybór trzech ośrodków wsparcia</w:t>
      </w:r>
      <w:r w:rsidR="004135AD">
        <w:t>,</w:t>
      </w:r>
      <w:r w:rsidRPr="00664B7D">
        <w:t xml:space="preserve"> na obszarze </w:t>
      </w:r>
      <w:r w:rsidR="004135AD">
        <w:t>każdego z sub</w:t>
      </w:r>
      <w:r w:rsidRPr="00664B7D">
        <w:t>region</w:t>
      </w:r>
      <w:r w:rsidR="00B95D07" w:rsidRPr="00664B7D">
        <w:t>ó</w:t>
      </w:r>
      <w:r w:rsidRPr="00664B7D">
        <w:t>w województwa warmińsko - mazurskiego (olsztyńs</w:t>
      </w:r>
      <w:r w:rsidR="004135AD">
        <w:t>kiego</w:t>
      </w:r>
      <w:r w:rsidRPr="00664B7D">
        <w:t>, elbląski</w:t>
      </w:r>
      <w:r w:rsidR="004135AD">
        <w:t>ego</w:t>
      </w:r>
      <w:r w:rsidRPr="00664B7D">
        <w:t xml:space="preserve"> i ełcki</w:t>
      </w:r>
      <w:r w:rsidR="004135AD">
        <w:t>ego</w:t>
      </w:r>
      <w:r w:rsidRPr="00664B7D">
        <w:t xml:space="preserve">), którym zlecone </w:t>
      </w:r>
      <w:r w:rsidR="0079016F" w:rsidRPr="00664B7D">
        <w:t xml:space="preserve">zostaną </w:t>
      </w:r>
      <w:r w:rsidR="00510CB3" w:rsidRPr="00664B7D">
        <w:t>usługi informacyjne, doradcze i</w:t>
      </w:r>
      <w:r w:rsidR="00EE6487" w:rsidRPr="00664B7D">
        <w:t xml:space="preserve"> szkoleniowe dla potencjalnych </w:t>
      </w:r>
      <w:proofErr w:type="spellStart"/>
      <w:r w:rsidR="00EE6487" w:rsidRPr="00664B7D">
        <w:t>G</w:t>
      </w:r>
      <w:r w:rsidR="00510CB3" w:rsidRPr="00664B7D">
        <w:t>rantobiorców</w:t>
      </w:r>
      <w:proofErr w:type="spellEnd"/>
      <w:r w:rsidR="0079016F" w:rsidRPr="00664B7D">
        <w:t>;</w:t>
      </w:r>
    </w:p>
    <w:p w14:paraId="2B579895" w14:textId="2667324B" w:rsidR="00510CB3" w:rsidRPr="00664B7D" w:rsidRDefault="00510CB3" w:rsidP="00F15960">
      <w:pPr>
        <w:pStyle w:val="TreNum-K"/>
        <w:numPr>
          <w:ilvl w:val="0"/>
          <w:numId w:val="50"/>
        </w:numPr>
        <w:ind w:left="426" w:hanging="426"/>
      </w:pPr>
      <w:r w:rsidRPr="00664B7D">
        <w:t>udzielanie grant</w:t>
      </w:r>
      <w:r w:rsidR="00461034" w:rsidRPr="00664B7D">
        <w:t xml:space="preserve">ów organizacjom </w:t>
      </w:r>
      <w:bookmarkStart w:id="23" w:name="_Hlk145931306"/>
      <w:r w:rsidR="00461034" w:rsidRPr="00664B7D">
        <w:t>społeczeństwa obywatelskiego oraz partnerom społecznym.</w:t>
      </w:r>
    </w:p>
    <w:bookmarkEnd w:id="23"/>
    <w:p w14:paraId="5E961A17" w14:textId="19580C11" w:rsidR="004651A8" w:rsidRPr="00664B7D" w:rsidRDefault="007A7DB6" w:rsidP="00F15960">
      <w:pPr>
        <w:pStyle w:val="TreNum-K"/>
        <w:numPr>
          <w:ilvl w:val="0"/>
          <w:numId w:val="51"/>
        </w:numPr>
        <w:ind w:left="426" w:hanging="426"/>
      </w:pPr>
      <w:r w:rsidRPr="00664B7D">
        <w:t>Zasady realizacji projektów grantowych określa art. 41 ustawy wdrożeniowej.</w:t>
      </w:r>
      <w:r w:rsidR="004651A8" w:rsidRPr="00664B7D">
        <w:t xml:space="preserve"> </w:t>
      </w:r>
    </w:p>
    <w:p w14:paraId="7ED5C4B1" w14:textId="55253906" w:rsidR="001138B0" w:rsidRPr="00664B7D" w:rsidRDefault="00EE6487" w:rsidP="00F15960">
      <w:pPr>
        <w:pStyle w:val="TreNum-K"/>
        <w:numPr>
          <w:ilvl w:val="0"/>
          <w:numId w:val="51"/>
        </w:numPr>
        <w:ind w:left="426" w:hanging="426"/>
      </w:pPr>
      <w:r w:rsidRPr="00664B7D">
        <w:t xml:space="preserve">Granty udzielane są </w:t>
      </w:r>
      <w:proofErr w:type="spellStart"/>
      <w:r w:rsidRPr="00664B7D">
        <w:t>G</w:t>
      </w:r>
      <w:r w:rsidR="007A7DB6" w:rsidRPr="00664B7D">
        <w:t>rantobiorcom</w:t>
      </w:r>
      <w:proofErr w:type="spellEnd"/>
      <w:r w:rsidR="007A7DB6" w:rsidRPr="00664B7D">
        <w:t xml:space="preserve"> wybranym w drodze otwartego naboru</w:t>
      </w:r>
      <w:r w:rsidR="004D1B9B" w:rsidRPr="00664B7D">
        <w:t xml:space="preserve"> </w:t>
      </w:r>
      <w:r w:rsidR="007A7DB6" w:rsidRPr="00664B7D">
        <w:t xml:space="preserve">ogłoszonego przez </w:t>
      </w:r>
      <w:r w:rsidR="00E60B96" w:rsidRPr="00664B7D">
        <w:t>B</w:t>
      </w:r>
      <w:r w:rsidR="007A7DB6" w:rsidRPr="00664B7D">
        <w:t>eneficjenta w ramach realizacji projektu grantowego. Wartość</w:t>
      </w:r>
      <w:r w:rsidR="004D1B9B" w:rsidRPr="00664B7D">
        <w:t xml:space="preserve"> </w:t>
      </w:r>
      <w:r w:rsidRPr="00664B7D">
        <w:t xml:space="preserve">grantu przekazanego </w:t>
      </w:r>
      <w:proofErr w:type="spellStart"/>
      <w:r w:rsidRPr="00DC33D2">
        <w:t>G</w:t>
      </w:r>
      <w:r w:rsidR="007A7DB6" w:rsidRPr="00DC33D2">
        <w:t>rantobiorcy</w:t>
      </w:r>
      <w:proofErr w:type="spellEnd"/>
      <w:r w:rsidR="007A7DB6" w:rsidRPr="00DC33D2">
        <w:t xml:space="preserve"> nie może przekroczyć równowartości 200</w:t>
      </w:r>
      <w:r w:rsidR="004D1B9B" w:rsidRPr="00DC33D2">
        <w:t xml:space="preserve"> </w:t>
      </w:r>
      <w:r w:rsidR="007A7DB6" w:rsidRPr="00DC33D2">
        <w:t>tys. Euro</w:t>
      </w:r>
      <w:r w:rsidR="00AD6C1C" w:rsidRPr="00DC33D2">
        <w:t>.</w:t>
      </w:r>
      <w:r w:rsidR="007A7DB6" w:rsidRPr="00DC33D2">
        <w:t xml:space="preserve"> </w:t>
      </w:r>
      <w:r w:rsidR="00AD6C1C">
        <w:t>D</w:t>
      </w:r>
      <w:r w:rsidR="007A7DB6" w:rsidRPr="00664B7D">
        <w:t>o przeliczenia wartości projektu stosuje się miesięczny obrachunkowy</w:t>
      </w:r>
      <w:r w:rsidR="004D1B9B" w:rsidRPr="00664B7D">
        <w:t xml:space="preserve"> </w:t>
      </w:r>
      <w:r w:rsidR="007A7DB6" w:rsidRPr="00664B7D">
        <w:t>kurs wymiany waluty stosowany przez KE, aktualny na dzień ogłoszenia naboru przez</w:t>
      </w:r>
      <w:r w:rsidR="004D1B9B" w:rsidRPr="00664B7D">
        <w:t xml:space="preserve"> </w:t>
      </w:r>
      <w:r w:rsidR="004D49ED" w:rsidRPr="00664B7D">
        <w:t>B</w:t>
      </w:r>
      <w:r w:rsidR="004651A8" w:rsidRPr="00664B7D">
        <w:t xml:space="preserve">eneficjenta (Kurs euro dostępny jest na stronie </w:t>
      </w:r>
      <w:hyperlink r:id="rId13" w:history="1">
        <w:r w:rsidR="004651A8" w:rsidRPr="00664B7D">
          <w:rPr>
            <w:rStyle w:val="Hipercze"/>
          </w:rPr>
          <w:t>https://www.ecb.europa.eu/stats/policy_and_exchange_rates/euro_reference_exchange_rates/html/eurofxref-graph-pln.en.html</w:t>
        </w:r>
      </w:hyperlink>
      <w:r w:rsidR="004651A8" w:rsidRPr="00664B7D">
        <w:t>)</w:t>
      </w:r>
      <w:r w:rsidR="00AD6C1C">
        <w:t>. Wysokość grantu</w:t>
      </w:r>
      <w:r w:rsidR="00D037CD" w:rsidRPr="00664B7D">
        <w:t xml:space="preserve"> powinna być tak określona, aby zapewnić realizację założonych wskaźników </w:t>
      </w:r>
      <w:r w:rsidR="00D037CD" w:rsidRPr="0015578D">
        <w:t>(kryterium</w:t>
      </w:r>
      <w:r w:rsidR="00DF1D67" w:rsidRPr="0015578D">
        <w:t xml:space="preserve"> specyficzne dostępu </w:t>
      </w:r>
      <w:r w:rsidR="0015578D" w:rsidRPr="0015578D">
        <w:t>4-7</w:t>
      </w:r>
      <w:r w:rsidR="00D037CD" w:rsidRPr="0015578D">
        <w:t>)</w:t>
      </w:r>
      <w:r w:rsidR="00DF1D67" w:rsidRPr="0015578D">
        <w:t>.</w:t>
      </w:r>
    </w:p>
    <w:p w14:paraId="067ACE47" w14:textId="48A97D68" w:rsidR="00D037CD" w:rsidRPr="00004280" w:rsidRDefault="007A7DB6" w:rsidP="00F15960">
      <w:pPr>
        <w:pStyle w:val="TreNum-K"/>
        <w:numPr>
          <w:ilvl w:val="0"/>
          <w:numId w:val="63"/>
        </w:numPr>
        <w:ind w:left="426" w:hanging="426"/>
      </w:pPr>
      <w:r w:rsidRPr="00004280">
        <w:t>Należy także pamiętać, że na poziomie grantów nie można finansować i rozliczać</w:t>
      </w:r>
      <w:r w:rsidR="00C972CE" w:rsidRPr="00004280">
        <w:t xml:space="preserve"> </w:t>
      </w:r>
      <w:r w:rsidRPr="00004280">
        <w:t>kosztów pośrednich/administracyjnych</w:t>
      </w:r>
      <w:r w:rsidR="00476001" w:rsidRPr="00004280">
        <w:t>.</w:t>
      </w:r>
    </w:p>
    <w:p w14:paraId="5396174F" w14:textId="6DBB0E6C" w:rsidR="00476001" w:rsidRPr="00DC33D2" w:rsidRDefault="007A7DB6" w:rsidP="00F15960">
      <w:pPr>
        <w:pStyle w:val="TreNum-K"/>
        <w:numPr>
          <w:ilvl w:val="0"/>
          <w:numId w:val="64"/>
        </w:numPr>
        <w:ind w:left="426" w:hanging="426"/>
      </w:pPr>
      <w:r w:rsidRPr="00DC33D2">
        <w:t xml:space="preserve">Udzielone granty są ujmowane w zestawieniu wydatków wniosku o płatność </w:t>
      </w:r>
      <w:r w:rsidR="00AD6C1C" w:rsidRPr="00DC33D2">
        <w:br/>
      </w:r>
      <w:r w:rsidRPr="00DC33D2">
        <w:t>i</w:t>
      </w:r>
      <w:r w:rsidR="00C972CE" w:rsidRPr="00DC33D2">
        <w:t xml:space="preserve"> </w:t>
      </w:r>
      <w:r w:rsidRPr="00DC33D2">
        <w:t xml:space="preserve">przedkładane przez </w:t>
      </w:r>
      <w:r w:rsidR="00476001" w:rsidRPr="00DC33D2">
        <w:t>B</w:t>
      </w:r>
      <w:r w:rsidRPr="00DC33D2">
        <w:t>eneficjenta do</w:t>
      </w:r>
      <w:r w:rsidR="00EE6487" w:rsidRPr="00DC33D2">
        <w:t>piero po ich rozliczeniu</w:t>
      </w:r>
      <w:r w:rsidR="004135AD" w:rsidRPr="00DC33D2">
        <w:t xml:space="preserve"> (całkowitym lub częściowym)</w:t>
      </w:r>
      <w:r w:rsidR="00EE6487" w:rsidRPr="00DC33D2">
        <w:t xml:space="preserve"> przez </w:t>
      </w:r>
      <w:proofErr w:type="spellStart"/>
      <w:r w:rsidR="00EE6487" w:rsidRPr="00DC33D2">
        <w:t>G</w:t>
      </w:r>
      <w:r w:rsidRPr="00DC33D2">
        <w:t>rantobiorcę</w:t>
      </w:r>
      <w:proofErr w:type="spellEnd"/>
      <w:r w:rsidRPr="00DC33D2">
        <w:t>. Nie</w:t>
      </w:r>
      <w:r w:rsidR="00C972CE" w:rsidRPr="00DC33D2">
        <w:t xml:space="preserve"> </w:t>
      </w:r>
      <w:r w:rsidRPr="00DC33D2">
        <w:t>ma możliwości wykazywania jako wydatek kwalifikowalny zaliczki wypłaconej</w:t>
      </w:r>
      <w:r w:rsidR="00C972CE" w:rsidRPr="00DC33D2">
        <w:t xml:space="preserve"> </w:t>
      </w:r>
      <w:proofErr w:type="spellStart"/>
      <w:r w:rsidR="00EE6487" w:rsidRPr="00DC33D2">
        <w:t>G</w:t>
      </w:r>
      <w:r w:rsidRPr="00DC33D2">
        <w:t>rantobiorcy</w:t>
      </w:r>
      <w:proofErr w:type="spellEnd"/>
      <w:r w:rsidRPr="00DC33D2">
        <w:t xml:space="preserve"> nawet w sytuacji, gdy zgodnie z umową o dofinansowanie, zaliczka</w:t>
      </w:r>
      <w:r w:rsidR="00C972CE" w:rsidRPr="00DC33D2">
        <w:t xml:space="preserve"> </w:t>
      </w:r>
      <w:r w:rsidRPr="00DC33D2">
        <w:t xml:space="preserve">wliczana jest do wydatkowania 70% transzy. </w:t>
      </w:r>
    </w:p>
    <w:p w14:paraId="02FC6DCE" w14:textId="04AED1C9" w:rsidR="007A7DB6" w:rsidRPr="00664B7D" w:rsidRDefault="007A7DB6" w:rsidP="00F15960">
      <w:pPr>
        <w:pStyle w:val="TreNum-K"/>
        <w:numPr>
          <w:ilvl w:val="0"/>
          <w:numId w:val="65"/>
        </w:numPr>
        <w:ind w:left="426" w:hanging="426"/>
      </w:pPr>
      <w:r w:rsidRPr="00664B7D">
        <w:t>Beneficjent odpowiada merytorycznie i finansowo za</w:t>
      </w:r>
      <w:r w:rsidR="004651A8" w:rsidRPr="00664B7D">
        <w:t xml:space="preserve"> </w:t>
      </w:r>
      <w:r w:rsidRPr="00664B7D">
        <w:t xml:space="preserve">prawidłową realizację projektu, </w:t>
      </w:r>
      <w:r w:rsidR="00AD6C1C">
        <w:br/>
      </w:r>
      <w:r w:rsidRPr="00664B7D">
        <w:t>w szczególności za:</w:t>
      </w:r>
    </w:p>
    <w:p w14:paraId="413E9C61" w14:textId="77777777" w:rsidR="001138B0" w:rsidRPr="00664B7D" w:rsidRDefault="007A7DB6" w:rsidP="00221D4E">
      <w:pPr>
        <w:pStyle w:val="TreNum-K"/>
        <w:numPr>
          <w:ilvl w:val="2"/>
          <w:numId w:val="7"/>
        </w:numPr>
        <w:ind w:left="426" w:hanging="426"/>
      </w:pPr>
      <w:r w:rsidRPr="00664B7D">
        <w:t>realizację projektu grantowego zgodnie z założonym celem;</w:t>
      </w:r>
    </w:p>
    <w:p w14:paraId="1260CC7A" w14:textId="44641E85" w:rsidR="001138B0" w:rsidRPr="00664B7D" w:rsidRDefault="007A7DB6" w:rsidP="00221D4E">
      <w:pPr>
        <w:pStyle w:val="TreNum-K"/>
        <w:numPr>
          <w:ilvl w:val="2"/>
          <w:numId w:val="7"/>
        </w:numPr>
        <w:ind w:left="426" w:hanging="426"/>
      </w:pPr>
      <w:r w:rsidRPr="00664B7D">
        <w:t>przygotowan</w:t>
      </w:r>
      <w:r w:rsidR="00EE6487" w:rsidRPr="00664B7D">
        <w:t xml:space="preserve">ie propozycji kryteriów wyboru </w:t>
      </w:r>
      <w:proofErr w:type="spellStart"/>
      <w:r w:rsidR="00EE6487" w:rsidRPr="00664B7D">
        <w:t>G</w:t>
      </w:r>
      <w:r w:rsidRPr="00664B7D">
        <w:t>rantobiorców</w:t>
      </w:r>
      <w:proofErr w:type="spellEnd"/>
      <w:r w:rsidR="00CA42DC">
        <w:t xml:space="preserve"> i przekazanie ich do ION</w:t>
      </w:r>
      <w:r w:rsidRPr="00664B7D">
        <w:t>;</w:t>
      </w:r>
    </w:p>
    <w:p w14:paraId="5738FDBF" w14:textId="5199AD5C" w:rsidR="001138B0" w:rsidRPr="00664B7D" w:rsidRDefault="007A7DB6" w:rsidP="00221D4E">
      <w:pPr>
        <w:pStyle w:val="TreNum-K"/>
        <w:numPr>
          <w:ilvl w:val="2"/>
          <w:numId w:val="7"/>
        </w:numPr>
        <w:ind w:left="426" w:hanging="426"/>
      </w:pPr>
      <w:r w:rsidRPr="00664B7D">
        <w:t xml:space="preserve">dokonywanie wyboru </w:t>
      </w:r>
      <w:proofErr w:type="spellStart"/>
      <w:r w:rsidR="00EE6487" w:rsidRPr="00664B7D">
        <w:t>G</w:t>
      </w:r>
      <w:r w:rsidRPr="00664B7D">
        <w:t>rantobiorców</w:t>
      </w:r>
      <w:proofErr w:type="spellEnd"/>
      <w:r w:rsidRPr="00664B7D">
        <w:t xml:space="preserve"> w oparciu o określone kryteria, z</w:t>
      </w:r>
      <w:r w:rsidR="00476001" w:rsidRPr="00664B7D">
        <w:t xml:space="preserve"> </w:t>
      </w:r>
      <w:r w:rsidRPr="00664B7D">
        <w:t>zapewnieniem zasady przejrzystości, rzetelności, bezstronności i równego</w:t>
      </w:r>
      <w:r w:rsidR="001138B0" w:rsidRPr="00664B7D">
        <w:t xml:space="preserve"> </w:t>
      </w:r>
      <w:r w:rsidRPr="00664B7D">
        <w:t>traktowania podmiotów;</w:t>
      </w:r>
    </w:p>
    <w:p w14:paraId="1878C073" w14:textId="0B0AB2CE" w:rsidR="001138B0" w:rsidRPr="00664B7D" w:rsidRDefault="00EE6487" w:rsidP="00221D4E">
      <w:pPr>
        <w:pStyle w:val="TreNum-K"/>
        <w:numPr>
          <w:ilvl w:val="2"/>
          <w:numId w:val="7"/>
        </w:numPr>
        <w:ind w:left="426" w:hanging="426"/>
      </w:pPr>
      <w:r w:rsidRPr="00664B7D">
        <w:t xml:space="preserve">zawieranie z </w:t>
      </w:r>
      <w:proofErr w:type="spellStart"/>
      <w:r w:rsidRPr="00664B7D">
        <w:t>G</w:t>
      </w:r>
      <w:r w:rsidR="007A7DB6" w:rsidRPr="00664B7D">
        <w:t>rantobiorcami</w:t>
      </w:r>
      <w:proofErr w:type="spellEnd"/>
      <w:r w:rsidR="007A7DB6" w:rsidRPr="00664B7D">
        <w:t xml:space="preserve"> umów o powierzenie grantu;</w:t>
      </w:r>
    </w:p>
    <w:p w14:paraId="0AE18FA1" w14:textId="1C459D43" w:rsidR="001138B0" w:rsidRPr="00664B7D" w:rsidRDefault="007A7DB6" w:rsidP="00221D4E">
      <w:pPr>
        <w:pStyle w:val="TreNum-K"/>
        <w:numPr>
          <w:ilvl w:val="2"/>
          <w:numId w:val="7"/>
        </w:numPr>
        <w:ind w:left="426" w:hanging="426"/>
      </w:pPr>
      <w:r w:rsidRPr="00664B7D">
        <w:t>rozliczan</w:t>
      </w:r>
      <w:r w:rsidR="00EE6487" w:rsidRPr="00664B7D">
        <w:t xml:space="preserve">ie wydatków poniesionych przez </w:t>
      </w:r>
      <w:proofErr w:type="spellStart"/>
      <w:r w:rsidR="00EE6487" w:rsidRPr="00664B7D">
        <w:t>G</w:t>
      </w:r>
      <w:r w:rsidRPr="00664B7D">
        <w:t>rantobiorców</w:t>
      </w:r>
      <w:proofErr w:type="spellEnd"/>
      <w:r w:rsidRPr="00664B7D">
        <w:t>;</w:t>
      </w:r>
    </w:p>
    <w:p w14:paraId="22D822A1" w14:textId="3EDA404A" w:rsidR="001138B0" w:rsidRPr="00664B7D" w:rsidRDefault="007A7DB6" w:rsidP="00221D4E">
      <w:pPr>
        <w:pStyle w:val="TreNum-K"/>
        <w:numPr>
          <w:ilvl w:val="2"/>
          <w:numId w:val="7"/>
        </w:numPr>
        <w:ind w:left="426" w:hanging="426"/>
      </w:pPr>
      <w:r w:rsidRPr="00664B7D">
        <w:t>monitor</w:t>
      </w:r>
      <w:r w:rsidR="00EE6487" w:rsidRPr="00664B7D">
        <w:t xml:space="preserve">owanie realizacji zadań przez </w:t>
      </w:r>
      <w:proofErr w:type="spellStart"/>
      <w:r w:rsidR="00EE6487" w:rsidRPr="00664B7D">
        <w:t>G</w:t>
      </w:r>
      <w:r w:rsidRPr="00664B7D">
        <w:t>rantobiorców</w:t>
      </w:r>
      <w:proofErr w:type="spellEnd"/>
      <w:r w:rsidRPr="00664B7D">
        <w:t>;</w:t>
      </w:r>
    </w:p>
    <w:p w14:paraId="0D4718B6" w14:textId="3089C7E1" w:rsidR="001138B0" w:rsidRPr="00664B7D" w:rsidRDefault="007A7DB6" w:rsidP="00221D4E">
      <w:pPr>
        <w:pStyle w:val="TreNum-K"/>
        <w:numPr>
          <w:ilvl w:val="2"/>
          <w:numId w:val="7"/>
        </w:numPr>
        <w:ind w:left="426" w:hanging="426"/>
      </w:pPr>
      <w:r w:rsidRPr="00664B7D">
        <w:t>kontrolę realiz</w:t>
      </w:r>
      <w:r w:rsidR="00EE6487" w:rsidRPr="00664B7D">
        <w:t xml:space="preserve">acji zadań przez </w:t>
      </w:r>
      <w:proofErr w:type="spellStart"/>
      <w:r w:rsidR="00EE6487" w:rsidRPr="00664B7D">
        <w:t>G</w:t>
      </w:r>
      <w:r w:rsidR="001138B0" w:rsidRPr="00664B7D">
        <w:t>rantobiorców</w:t>
      </w:r>
      <w:proofErr w:type="spellEnd"/>
      <w:r w:rsidR="001138B0" w:rsidRPr="00664B7D">
        <w:t xml:space="preserve">; </w:t>
      </w:r>
    </w:p>
    <w:p w14:paraId="58874D41" w14:textId="77777777" w:rsidR="00472F82" w:rsidRPr="00664B7D" w:rsidRDefault="007A7DB6" w:rsidP="00221D4E">
      <w:pPr>
        <w:pStyle w:val="TreNum-K"/>
        <w:numPr>
          <w:ilvl w:val="2"/>
          <w:numId w:val="7"/>
        </w:numPr>
        <w:ind w:left="426" w:hanging="426"/>
      </w:pPr>
      <w:r w:rsidRPr="00664B7D">
        <w:t>odzyskiwanie grantów w przypadku ich wyk</w:t>
      </w:r>
      <w:r w:rsidR="001138B0" w:rsidRPr="00664B7D">
        <w:t xml:space="preserve">orzystania niezgodnie z umową o </w:t>
      </w:r>
      <w:r w:rsidR="004651A8" w:rsidRPr="00664B7D">
        <w:t>powierzenie grantu.</w:t>
      </w:r>
    </w:p>
    <w:p w14:paraId="37250BB1" w14:textId="3FC4878C" w:rsidR="001138B0" w:rsidRPr="00664B7D" w:rsidRDefault="007A7DB6" w:rsidP="00F15960">
      <w:pPr>
        <w:pStyle w:val="TreNum-K"/>
        <w:numPr>
          <w:ilvl w:val="0"/>
          <w:numId w:val="66"/>
        </w:numPr>
        <w:ind w:left="426" w:hanging="426"/>
      </w:pPr>
      <w:proofErr w:type="spellStart"/>
      <w:r w:rsidRPr="00664B7D">
        <w:t>Grantobiorca</w:t>
      </w:r>
      <w:proofErr w:type="spellEnd"/>
      <w:r w:rsidRPr="00664B7D">
        <w:t xml:space="preserve"> powinien być podmiotem bezpośrednio korzystającym ze</w:t>
      </w:r>
      <w:r w:rsidR="001138B0" w:rsidRPr="00664B7D">
        <w:t xml:space="preserve"> </w:t>
      </w:r>
      <w:r w:rsidRPr="00664B7D">
        <w:t xml:space="preserve">wsparcia </w:t>
      </w:r>
      <w:r w:rsidR="00DC33D2">
        <w:br/>
      </w:r>
      <w:r w:rsidRPr="00664B7D">
        <w:t>w ramach udzielonego grantu</w:t>
      </w:r>
      <w:r w:rsidR="004F6154">
        <w:t>, tj. otrz</w:t>
      </w:r>
      <w:r w:rsidR="004135AD">
        <w:t xml:space="preserve">ymane środki przeznacza tylko i wyłącznie </w:t>
      </w:r>
      <w:r w:rsidR="00DC33D2">
        <w:br/>
      </w:r>
      <w:r w:rsidR="004135AD">
        <w:lastRenderedPageBreak/>
        <w:t>na wzmocnienie własnej organizacji, ale nie dystrybuuje ich dalej</w:t>
      </w:r>
      <w:r w:rsidR="004F6154">
        <w:t xml:space="preserve"> (realizując wsparcie </w:t>
      </w:r>
      <w:r w:rsidR="00DC33D2">
        <w:br/>
      </w:r>
      <w:r w:rsidR="004F6154">
        <w:t>na rzecz innych grup docelowych).</w:t>
      </w:r>
    </w:p>
    <w:p w14:paraId="614A3763" w14:textId="23F07736" w:rsidR="00572329" w:rsidRDefault="0003372A" w:rsidP="00F15960">
      <w:pPr>
        <w:pStyle w:val="TreNum-K"/>
        <w:numPr>
          <w:ilvl w:val="0"/>
          <w:numId w:val="67"/>
        </w:numPr>
        <w:ind w:left="426" w:hanging="426"/>
      </w:pPr>
      <w:proofErr w:type="spellStart"/>
      <w:r w:rsidRPr="002834AA">
        <w:t>Grantobiorcami</w:t>
      </w:r>
      <w:proofErr w:type="spellEnd"/>
      <w:r w:rsidRPr="00DC33D2">
        <w:t xml:space="preserve"> mogą być podmioty publiczne albo prywatne</w:t>
      </w:r>
      <w:r w:rsidR="00A4039B">
        <w:t xml:space="preserve"> (organizacje</w:t>
      </w:r>
      <w:r w:rsidR="00A4039B" w:rsidRPr="00A4039B">
        <w:t xml:space="preserve"> społeczeństwa obywatelskiego oraz partner</w:t>
      </w:r>
      <w:r w:rsidR="00A4039B">
        <w:t>zy</w:t>
      </w:r>
      <w:r w:rsidR="00A4039B" w:rsidRPr="00A4039B">
        <w:t xml:space="preserve"> społeczn</w:t>
      </w:r>
      <w:r w:rsidR="00A4039B">
        <w:t>i)</w:t>
      </w:r>
      <w:r w:rsidRPr="00DC33D2">
        <w:t xml:space="preserve">, przy czym nie może być </w:t>
      </w:r>
      <w:r w:rsidR="00DC33D2">
        <w:br/>
      </w:r>
      <w:r w:rsidRPr="00DC33D2">
        <w:t>to beneficjent projektu grantowego (</w:t>
      </w:r>
      <w:proofErr w:type="spellStart"/>
      <w:r w:rsidRPr="00DC33D2">
        <w:t>Grantodawca</w:t>
      </w:r>
      <w:proofErr w:type="spellEnd"/>
      <w:r w:rsidRPr="00DC33D2">
        <w:t>)</w:t>
      </w:r>
      <w:r w:rsidR="004135AD" w:rsidRPr="00DC33D2">
        <w:t xml:space="preserve">, ani </w:t>
      </w:r>
      <w:r w:rsidR="00572329">
        <w:t>trzy ośrodki wsparcia</w:t>
      </w:r>
      <w:r w:rsidR="004135AD" w:rsidRPr="00DC33D2">
        <w:t xml:space="preserve">, o których mowa w pkt </w:t>
      </w:r>
      <w:r w:rsidR="00440503">
        <w:t>2</w:t>
      </w:r>
      <w:r w:rsidR="00572329">
        <w:t>.</w:t>
      </w:r>
    </w:p>
    <w:p w14:paraId="5D541CFB" w14:textId="4D8CF9F3" w:rsidR="0003372A" w:rsidRPr="00382951" w:rsidRDefault="0003372A" w:rsidP="00F15960">
      <w:pPr>
        <w:pStyle w:val="TreNum-K"/>
        <w:numPr>
          <w:ilvl w:val="0"/>
          <w:numId w:val="68"/>
        </w:numPr>
        <w:ind w:left="426" w:hanging="426"/>
      </w:pPr>
      <w:r w:rsidRPr="002834AA">
        <w:t>Podmiotami</w:t>
      </w:r>
      <w:r w:rsidRPr="00382951">
        <w:t xml:space="preserve"> uprawnionymi do ubiegania się o granty są wszystkie podmioty</w:t>
      </w:r>
      <w:r w:rsidR="00A4039B">
        <w:t xml:space="preserve"> (organizacje</w:t>
      </w:r>
      <w:r w:rsidR="00A4039B" w:rsidRPr="00A4039B">
        <w:t xml:space="preserve"> społeczeństwa obywatelskiego oraz partner</w:t>
      </w:r>
      <w:r w:rsidR="00A4039B">
        <w:t>zy</w:t>
      </w:r>
      <w:r w:rsidR="00A4039B" w:rsidRPr="00A4039B">
        <w:t xml:space="preserve"> społeczn</w:t>
      </w:r>
      <w:r w:rsidR="00A4039B">
        <w:t>i)</w:t>
      </w:r>
      <w:r w:rsidRPr="00382951">
        <w:t xml:space="preserve"> – z wyłączeniem:</w:t>
      </w:r>
    </w:p>
    <w:p w14:paraId="41E79F21" w14:textId="48A33035" w:rsidR="0003372A" w:rsidRPr="00382951" w:rsidRDefault="0003372A" w:rsidP="00F15960">
      <w:pPr>
        <w:pStyle w:val="TreNum-K"/>
        <w:numPr>
          <w:ilvl w:val="1"/>
          <w:numId w:val="59"/>
        </w:numPr>
        <w:ind w:left="426" w:hanging="426"/>
      </w:pPr>
      <w:r w:rsidRPr="00382951">
        <w:t>podmiotów wykluczonych z możliwości otrzymania środków na podstawie przepisów ustawy z dnia 27 sierpnia 2009</w:t>
      </w:r>
      <w:r w:rsidR="007B17E4">
        <w:t xml:space="preserve"> </w:t>
      </w:r>
      <w:r w:rsidRPr="00382951">
        <w:t>r. o finansach publicznych;</w:t>
      </w:r>
    </w:p>
    <w:p w14:paraId="6DD09C50" w14:textId="377D3B8B" w:rsidR="0003372A" w:rsidRPr="00382951" w:rsidRDefault="0003372A" w:rsidP="00F15960">
      <w:pPr>
        <w:pStyle w:val="TreNum-K"/>
        <w:numPr>
          <w:ilvl w:val="1"/>
          <w:numId w:val="59"/>
        </w:numPr>
        <w:ind w:left="426" w:hanging="426"/>
      </w:pPr>
      <w:r w:rsidRPr="00382951">
        <w:t>podmiotów, o których mowa w art. 12 ust. 1 pkt. 1 ustawy z dnia 15 czerwca 2012</w:t>
      </w:r>
      <w:r w:rsidR="007B17E4">
        <w:t xml:space="preserve"> </w:t>
      </w:r>
      <w:r w:rsidRPr="00382951">
        <w:t xml:space="preserve">r. </w:t>
      </w:r>
      <w:r w:rsidR="00DC33D2" w:rsidRPr="00382951">
        <w:br/>
      </w:r>
      <w:r w:rsidRPr="00382951">
        <w:t>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14:paraId="77099568" w14:textId="0CE43297" w:rsidR="0003372A" w:rsidRPr="00382951" w:rsidRDefault="0003372A" w:rsidP="00F15960">
      <w:pPr>
        <w:pStyle w:val="TreNum-K"/>
        <w:numPr>
          <w:ilvl w:val="1"/>
          <w:numId w:val="59"/>
        </w:numPr>
        <w:ind w:left="426" w:hanging="426"/>
      </w:pPr>
      <w:r w:rsidRPr="00382951">
        <w:t xml:space="preserve">podmiotów, o których mowa w art. 9 ust. 1 pkt. 2a ustawy z dnia 28 października 2002 r. </w:t>
      </w:r>
      <w:r w:rsidR="00DC33D2" w:rsidRPr="00382951">
        <w:br/>
      </w:r>
      <w:r w:rsidRPr="00382951">
        <w:t xml:space="preserve">o odpowiedzialności podmiotów zbiorowych za czyny zabronione pod groźbą kary (podmioty zbiorowe skazane za przestępstwo polegające na powierzaniu pracy cudzoziemcom przebywającym bez ważnego dokumentu, uprawniającego do pobytu </w:t>
      </w:r>
      <w:r w:rsidR="00382951">
        <w:br/>
      </w:r>
      <w:r w:rsidRPr="00382951">
        <w:t>na terytorium RP);</w:t>
      </w:r>
    </w:p>
    <w:p w14:paraId="45B5A9CC" w14:textId="7817D8DC" w:rsidR="0003372A" w:rsidRPr="00382951" w:rsidRDefault="0003372A" w:rsidP="00F15960">
      <w:pPr>
        <w:pStyle w:val="TreNum-K"/>
        <w:numPr>
          <w:ilvl w:val="1"/>
          <w:numId w:val="59"/>
        </w:numPr>
        <w:ind w:left="426" w:hanging="426"/>
      </w:pPr>
      <w:r w:rsidRPr="00382951">
        <w:t>podmiotów, co do których ogłoszono upadłość, znajdujących się w stanie likwidacji lub zalegających z uiszczeniem podatków, jak również z opłaceniem składek na ubezpieczenie społeczne i zdrowotne lub innych należności wymaganych odrębnymi przepisami;</w:t>
      </w:r>
    </w:p>
    <w:p w14:paraId="653FCA0E" w14:textId="2866EA0D" w:rsidR="0003372A" w:rsidRPr="00382951" w:rsidRDefault="0003372A" w:rsidP="00F15960">
      <w:pPr>
        <w:pStyle w:val="TreNum-K"/>
        <w:numPr>
          <w:ilvl w:val="1"/>
          <w:numId w:val="59"/>
        </w:numPr>
        <w:ind w:left="426" w:hanging="426"/>
      </w:pPr>
      <w:r w:rsidRPr="00382951">
        <w:t>podmiotów, o których mowa w art. 3 ust. 2 ustawy z dnia 13 kwietnia 2022</w:t>
      </w:r>
      <w:r w:rsidR="005B271C">
        <w:t xml:space="preserve"> </w:t>
      </w:r>
      <w:r w:rsidRPr="00382951">
        <w:t xml:space="preserve">r. </w:t>
      </w:r>
      <w:r w:rsidR="00382951">
        <w:br/>
      </w:r>
      <w:r w:rsidRPr="00382951">
        <w:t xml:space="preserve">o szczególnych rozwiązaniach w zakresie przeciwdziałania wspieraniu agresji na Ukrainę oraz służących ochronie bezpieczeństwa narodowego, znajdujących się na Liście osób </w:t>
      </w:r>
      <w:r w:rsidR="00382951">
        <w:br/>
      </w:r>
      <w:r w:rsidRPr="00382951">
        <w:t xml:space="preserve">i podmiotów objętych sankcjami prowadzonej przez Ministerstwo Spraw Wewnętrznych </w:t>
      </w:r>
      <w:r w:rsidR="00382951">
        <w:br/>
      </w:r>
      <w:r w:rsidRPr="00382951">
        <w:t>i Administracji;</w:t>
      </w:r>
    </w:p>
    <w:p w14:paraId="5B3757D9" w14:textId="0F2DB5B0" w:rsidR="0003372A" w:rsidRPr="00382951" w:rsidRDefault="0003372A" w:rsidP="00F15960">
      <w:pPr>
        <w:pStyle w:val="TreNum-K"/>
        <w:numPr>
          <w:ilvl w:val="1"/>
          <w:numId w:val="59"/>
        </w:numPr>
        <w:ind w:left="426" w:hanging="426"/>
      </w:pPr>
      <w:r w:rsidRPr="00382951">
        <w:t xml:space="preserve">podmiotów, o których mowa w art. 2 Rozporządzenia Rady (WE) nr 765/2006 z dnia </w:t>
      </w:r>
      <w:r w:rsidR="00382951">
        <w:br/>
      </w:r>
      <w:r w:rsidRPr="00382951">
        <w:t>18 maja 2006</w:t>
      </w:r>
      <w:r w:rsidR="005B271C">
        <w:t xml:space="preserve"> </w:t>
      </w:r>
      <w:r w:rsidRPr="00382951">
        <w:t xml:space="preserve">r. dotyczącego środków ograniczających w związku z sytuacją na Białorusi </w:t>
      </w:r>
      <w:r w:rsidR="00382951">
        <w:br/>
      </w:r>
      <w:r w:rsidRPr="00382951">
        <w:t>i udziałem Białorusi w agresji Rosji wobec Ukrainy, wymienionych w wykazie stanowiącym załącznik nr 1 do przedmiotowego Rozporządzenia;</w:t>
      </w:r>
    </w:p>
    <w:p w14:paraId="74924422" w14:textId="679FE6EB" w:rsidR="0003372A" w:rsidRPr="00382951" w:rsidRDefault="0003372A" w:rsidP="00F15960">
      <w:pPr>
        <w:pStyle w:val="TreNum-K"/>
        <w:numPr>
          <w:ilvl w:val="1"/>
          <w:numId w:val="59"/>
        </w:numPr>
        <w:ind w:left="426" w:hanging="426"/>
      </w:pPr>
      <w:r w:rsidRPr="00382951">
        <w:lastRenderedPageBreak/>
        <w:t xml:space="preserve">podmiotów, o których mowa w art. 3 Rozporządzenia Rady (UE) nr 269/2014 z dnia </w:t>
      </w:r>
      <w:r w:rsidR="00382951">
        <w:br/>
      </w:r>
      <w:r w:rsidRPr="00382951">
        <w:t>17 marca 2014</w:t>
      </w:r>
      <w:r w:rsidR="005B271C">
        <w:t xml:space="preserve"> </w:t>
      </w:r>
      <w:r w:rsidRPr="00382951">
        <w:t>r. w sprawie środków ograniczających w odniesieniu do działań podważających integralność terytorialną, suwerenność i niezależność Ukrainy lub im zagrażających, wymienionych w wykazie stanowiącym załącznik nr 1 do przedmiotowego Rozporządzenia;</w:t>
      </w:r>
    </w:p>
    <w:p w14:paraId="1ADBA353" w14:textId="1FB72B62" w:rsidR="0003372A" w:rsidRPr="00382951" w:rsidRDefault="0003372A" w:rsidP="00F15960">
      <w:pPr>
        <w:pStyle w:val="TreNum-K"/>
        <w:numPr>
          <w:ilvl w:val="1"/>
          <w:numId w:val="59"/>
        </w:numPr>
        <w:ind w:left="426" w:hanging="426"/>
      </w:pPr>
      <w:r w:rsidRPr="00382951">
        <w:t xml:space="preserve">podmiotów, o których mowa w art. 5 Rozporządzenia Rady UE (UE) </w:t>
      </w:r>
      <w:r w:rsidR="005B271C">
        <w:t>nr</w:t>
      </w:r>
      <w:r w:rsidRPr="00382951">
        <w:t xml:space="preserve"> 833/2014 z dnia 31 lipca 2014</w:t>
      </w:r>
      <w:r w:rsidR="005B271C">
        <w:t xml:space="preserve"> </w:t>
      </w:r>
      <w:r w:rsidRPr="00382951">
        <w:t>r. dotyczącego środków ograniczających w związku z działaniami Rosji destabilizującymi sytuację na Ukrainie, wymienionych w wykazie stanowiącym załącznik nr 3 do przedmiotowego Rozporządzenia.</w:t>
      </w:r>
    </w:p>
    <w:p w14:paraId="5DFD4933" w14:textId="181F9A6A" w:rsidR="00BD56DA" w:rsidRPr="00664B7D" w:rsidRDefault="007A7DB6" w:rsidP="00A5587E">
      <w:pPr>
        <w:pStyle w:val="TreNum-K"/>
        <w:ind w:left="426"/>
      </w:pPr>
      <w:r w:rsidRPr="00382951">
        <w:t>Oświadczenie</w:t>
      </w:r>
      <w:r w:rsidR="001138B0" w:rsidRPr="00382951">
        <w:t xml:space="preserve"> </w:t>
      </w:r>
      <w:r w:rsidR="00EE6487" w:rsidRPr="00382951">
        <w:t xml:space="preserve">składane przez </w:t>
      </w:r>
      <w:proofErr w:type="spellStart"/>
      <w:r w:rsidR="00EE6487" w:rsidRPr="00382951">
        <w:t>G</w:t>
      </w:r>
      <w:r w:rsidRPr="00382951">
        <w:t>rantobiorcę</w:t>
      </w:r>
      <w:proofErr w:type="spellEnd"/>
      <w:r w:rsidRPr="00382951">
        <w:t xml:space="preserve"> w tym zakresie powinno być zweryfikowane </w:t>
      </w:r>
      <w:r w:rsidR="00382951">
        <w:br/>
      </w:r>
      <w:r w:rsidRPr="00382951">
        <w:t>z Rejestrem</w:t>
      </w:r>
      <w:r w:rsidR="001138B0" w:rsidRPr="00382951">
        <w:t xml:space="preserve"> </w:t>
      </w:r>
      <w:r w:rsidRPr="00382951">
        <w:t>podmiotów wykluczonych z możliwości otrzymania środków przeznaczonych na</w:t>
      </w:r>
      <w:r w:rsidR="001138B0" w:rsidRPr="00382951">
        <w:t xml:space="preserve"> </w:t>
      </w:r>
      <w:r w:rsidRPr="00382951">
        <w:t>realizację programów finansowanych ze środków europejskich prowadzonym przez</w:t>
      </w:r>
      <w:r w:rsidR="001138B0" w:rsidRPr="00382951">
        <w:t xml:space="preserve"> </w:t>
      </w:r>
      <w:r w:rsidRPr="00382951">
        <w:t xml:space="preserve">Ministerstwo Finansów. </w:t>
      </w:r>
    </w:p>
    <w:p w14:paraId="74895DCA" w14:textId="55657EC7" w:rsidR="00BD56DA" w:rsidRPr="00664B7D" w:rsidRDefault="007A7DB6" w:rsidP="00F15960">
      <w:pPr>
        <w:pStyle w:val="TreNum-K"/>
        <w:numPr>
          <w:ilvl w:val="0"/>
          <w:numId w:val="69"/>
        </w:numPr>
        <w:ind w:left="426" w:hanging="426"/>
      </w:pPr>
      <w:proofErr w:type="spellStart"/>
      <w:r w:rsidRPr="002834AA">
        <w:t>Grantobiorców</w:t>
      </w:r>
      <w:proofErr w:type="spellEnd"/>
      <w:r w:rsidRPr="00664B7D">
        <w:t xml:space="preserve"> nie wiążą</w:t>
      </w:r>
      <w:r w:rsidR="004F6154">
        <w:t>,</w:t>
      </w:r>
      <w:r w:rsidRPr="00664B7D">
        <w:t xml:space="preserve"> co do zasady</w:t>
      </w:r>
      <w:r w:rsidR="004F6154">
        <w:t>,</w:t>
      </w:r>
      <w:r w:rsidRPr="00664B7D">
        <w:t xml:space="preserve"> wytyczne wydane na podstawie ustawy</w:t>
      </w:r>
      <w:r w:rsidR="00BD56DA" w:rsidRPr="00664B7D">
        <w:t xml:space="preserve"> </w:t>
      </w:r>
      <w:r w:rsidRPr="00664B7D">
        <w:t>wdrożeniowej, a zatem nie są oni zobowiązani do stosowania wszystkich zasad</w:t>
      </w:r>
      <w:r w:rsidR="00BD56DA" w:rsidRPr="00664B7D">
        <w:t xml:space="preserve"> </w:t>
      </w:r>
      <w:r w:rsidR="004D49ED" w:rsidRPr="00A5587E">
        <w:t>wiążących</w:t>
      </w:r>
      <w:r w:rsidR="004D49ED" w:rsidRPr="00664B7D">
        <w:t xml:space="preserve"> B</w:t>
      </w:r>
      <w:r w:rsidRPr="00664B7D">
        <w:t xml:space="preserve">eneficjentów w odniesieniu do monitorowania, składania wniosków </w:t>
      </w:r>
      <w:r w:rsidR="00BD272D">
        <w:br/>
      </w:r>
      <w:r w:rsidRPr="00664B7D">
        <w:t>o</w:t>
      </w:r>
      <w:r w:rsidR="00BD56DA" w:rsidRPr="00664B7D">
        <w:t xml:space="preserve"> </w:t>
      </w:r>
      <w:r w:rsidRPr="00664B7D">
        <w:t>płatność, wymiany danych, itp. Również Wytyczne kwalifikowalności nie mają</w:t>
      </w:r>
      <w:r w:rsidR="00BD56DA" w:rsidRPr="00664B7D">
        <w:t xml:space="preserve"> </w:t>
      </w:r>
      <w:r w:rsidRPr="00664B7D">
        <w:t>zastosowania</w:t>
      </w:r>
      <w:r w:rsidR="00EE6487" w:rsidRPr="00664B7D">
        <w:t xml:space="preserve"> do wydatków ponoszonych przez </w:t>
      </w:r>
      <w:proofErr w:type="spellStart"/>
      <w:r w:rsidR="00EE6487" w:rsidRPr="00664B7D">
        <w:t>G</w:t>
      </w:r>
      <w:r w:rsidRPr="00664B7D">
        <w:t>rantobiorców</w:t>
      </w:r>
      <w:proofErr w:type="spellEnd"/>
      <w:r w:rsidRPr="00664B7D">
        <w:t>, za wyjątkiem:</w:t>
      </w:r>
    </w:p>
    <w:p w14:paraId="33ACE8D8" w14:textId="77777777" w:rsidR="00BD56DA" w:rsidRPr="00664B7D" w:rsidRDefault="007A7DB6" w:rsidP="00A5587E">
      <w:pPr>
        <w:pStyle w:val="TreNum-K"/>
        <w:numPr>
          <w:ilvl w:val="0"/>
          <w:numId w:val="4"/>
        </w:numPr>
        <w:ind w:left="426" w:hanging="426"/>
      </w:pPr>
      <w:r w:rsidRPr="00664B7D">
        <w:t>podrozdziału 2.2 pkt 1 lit. a, zgodnie z którym wydatek ma być zgodny z</w:t>
      </w:r>
      <w:r w:rsidR="00BD56DA" w:rsidRPr="00664B7D">
        <w:t xml:space="preserve"> </w:t>
      </w:r>
      <w:r w:rsidRPr="00664B7D">
        <w:t>przepisami prawa,</w:t>
      </w:r>
    </w:p>
    <w:p w14:paraId="3090ABAC" w14:textId="77777777" w:rsidR="00BD56DA" w:rsidRPr="00664B7D" w:rsidRDefault="007A7DB6" w:rsidP="00A5587E">
      <w:pPr>
        <w:pStyle w:val="TreNum-K"/>
        <w:numPr>
          <w:ilvl w:val="0"/>
          <w:numId w:val="4"/>
        </w:numPr>
        <w:ind w:left="426" w:hanging="426"/>
      </w:pPr>
      <w:r w:rsidRPr="00664B7D">
        <w:t>podrozdziału 2.2 pkt 1 lit. e, zgodnie z którym wydatek ma być niezbędny do</w:t>
      </w:r>
      <w:r w:rsidR="00BD56DA" w:rsidRPr="00664B7D">
        <w:t xml:space="preserve"> </w:t>
      </w:r>
      <w:r w:rsidRPr="00664B7D">
        <w:t>realizacji celów projektu i został poniesiony w związku z realizacją projektu,</w:t>
      </w:r>
    </w:p>
    <w:p w14:paraId="5485BEB5" w14:textId="77777777" w:rsidR="00BD56DA" w:rsidRPr="00664B7D" w:rsidRDefault="007A7DB6" w:rsidP="00A5587E">
      <w:pPr>
        <w:pStyle w:val="TreNum-K"/>
        <w:numPr>
          <w:ilvl w:val="0"/>
          <w:numId w:val="4"/>
        </w:numPr>
        <w:ind w:left="426" w:hanging="426"/>
      </w:pPr>
      <w:r w:rsidRPr="00664B7D">
        <w:t>podrozdziału 2.2 pkt 1 lit. f , zgodnie z którym wydatek ma być dokonany w</w:t>
      </w:r>
      <w:r w:rsidR="00BD56DA" w:rsidRPr="00664B7D">
        <w:t xml:space="preserve"> </w:t>
      </w:r>
      <w:r w:rsidRPr="00664B7D">
        <w:t>sposób przejrzysty, racjonalny i efektywny, z zachowaniem zasad uzyskiwania</w:t>
      </w:r>
      <w:r w:rsidR="00BD56DA" w:rsidRPr="00664B7D">
        <w:t xml:space="preserve"> </w:t>
      </w:r>
      <w:r w:rsidRPr="00664B7D">
        <w:t>najlepszych efektów z danych nakładów,</w:t>
      </w:r>
    </w:p>
    <w:p w14:paraId="742CC42E" w14:textId="77777777" w:rsidR="00BD56DA" w:rsidRPr="00664B7D" w:rsidRDefault="007A7DB6" w:rsidP="00A5587E">
      <w:pPr>
        <w:pStyle w:val="TreNum-K"/>
        <w:numPr>
          <w:ilvl w:val="0"/>
          <w:numId w:val="4"/>
        </w:numPr>
        <w:ind w:left="426" w:hanging="426"/>
      </w:pPr>
      <w:r w:rsidRPr="00664B7D">
        <w:t>podrozdziału 2.3 dotyczącego wydatków niekwalifikowalnych,</w:t>
      </w:r>
    </w:p>
    <w:p w14:paraId="4CF514CA" w14:textId="77777777" w:rsidR="00BD56DA" w:rsidRPr="00664B7D" w:rsidRDefault="007A7DB6" w:rsidP="00A5587E">
      <w:pPr>
        <w:pStyle w:val="TreNum-K"/>
        <w:numPr>
          <w:ilvl w:val="0"/>
          <w:numId w:val="4"/>
        </w:numPr>
        <w:ind w:left="426" w:hanging="426"/>
      </w:pPr>
      <w:r w:rsidRPr="00664B7D">
        <w:t>podrozdziału 2.4 dotyczącego cross-</w:t>
      </w:r>
      <w:proofErr w:type="spellStart"/>
      <w:r w:rsidRPr="00664B7D">
        <w:t>financingu</w:t>
      </w:r>
      <w:proofErr w:type="spellEnd"/>
      <w:r w:rsidRPr="00664B7D">
        <w:t>,</w:t>
      </w:r>
    </w:p>
    <w:p w14:paraId="615440C6" w14:textId="1A7F180C" w:rsidR="00BD56DA" w:rsidRPr="00664B7D" w:rsidRDefault="007A7DB6" w:rsidP="00A5587E">
      <w:pPr>
        <w:pStyle w:val="TreNum-K"/>
        <w:numPr>
          <w:ilvl w:val="0"/>
          <w:numId w:val="4"/>
        </w:numPr>
        <w:ind w:left="426" w:hanging="426"/>
      </w:pPr>
      <w:r w:rsidRPr="00664B7D">
        <w:t>podrozdziału 2.6 dotyczącego trwałości projektu (konieczność zachowania</w:t>
      </w:r>
      <w:r w:rsidR="00BD56DA" w:rsidRPr="00664B7D">
        <w:t xml:space="preserve"> </w:t>
      </w:r>
      <w:r w:rsidRPr="00664B7D">
        <w:t>trwałości projektu w przypa</w:t>
      </w:r>
      <w:r w:rsidR="00EE6487" w:rsidRPr="00664B7D">
        <w:t xml:space="preserve">dku wydatków ponoszonych przez </w:t>
      </w:r>
      <w:proofErr w:type="spellStart"/>
      <w:r w:rsidR="00E41F6D" w:rsidRPr="00664B7D">
        <w:t>Granto</w:t>
      </w:r>
      <w:r w:rsidRPr="00664B7D">
        <w:t>biorcę</w:t>
      </w:r>
      <w:proofErr w:type="spellEnd"/>
      <w:r w:rsidRPr="00664B7D">
        <w:t xml:space="preserve"> w</w:t>
      </w:r>
      <w:r w:rsidR="00BD56DA" w:rsidRPr="00664B7D">
        <w:t xml:space="preserve"> </w:t>
      </w:r>
      <w:r w:rsidRPr="00664B7D">
        <w:t>ramach cross-</w:t>
      </w:r>
      <w:proofErr w:type="spellStart"/>
      <w:r w:rsidRPr="00664B7D">
        <w:t>financingu</w:t>
      </w:r>
      <w:proofErr w:type="spellEnd"/>
      <w:r w:rsidRPr="00664B7D">
        <w:t>),</w:t>
      </w:r>
    </w:p>
    <w:p w14:paraId="792C8598" w14:textId="45700537" w:rsidR="00BD56DA" w:rsidRPr="00664B7D" w:rsidRDefault="007A7DB6" w:rsidP="00A5587E">
      <w:pPr>
        <w:pStyle w:val="TreNum-K"/>
        <w:numPr>
          <w:ilvl w:val="0"/>
          <w:numId w:val="4"/>
        </w:numPr>
        <w:ind w:left="426" w:hanging="426"/>
      </w:pPr>
      <w:r w:rsidRPr="00664B7D">
        <w:t>podrozdzi</w:t>
      </w:r>
      <w:r w:rsidR="00E41F6D" w:rsidRPr="00664B7D">
        <w:t>ału 3.5 dotyczącego podatku VAT.</w:t>
      </w:r>
    </w:p>
    <w:p w14:paraId="2D8D2154" w14:textId="77777777" w:rsidR="003B4896" w:rsidRPr="003B4896" w:rsidRDefault="003B4896" w:rsidP="00A5587E">
      <w:pPr>
        <w:pStyle w:val="Akapitzlist"/>
        <w:numPr>
          <w:ilvl w:val="0"/>
          <w:numId w:val="7"/>
        </w:numPr>
        <w:autoSpaceDE w:val="0"/>
        <w:autoSpaceDN w:val="0"/>
        <w:adjustRightInd w:val="0"/>
        <w:spacing w:after="0"/>
        <w:ind w:left="426" w:hanging="426"/>
        <w:contextualSpacing w:val="0"/>
        <w:rPr>
          <w:rFonts w:cs="Arial"/>
          <w:vanish/>
        </w:rPr>
      </w:pPr>
    </w:p>
    <w:p w14:paraId="130E6473" w14:textId="463655FA" w:rsidR="00885A78" w:rsidRPr="00664B7D" w:rsidRDefault="007A7DB6" w:rsidP="00A5587E">
      <w:pPr>
        <w:pStyle w:val="TreNum-K"/>
        <w:numPr>
          <w:ilvl w:val="0"/>
          <w:numId w:val="7"/>
        </w:numPr>
        <w:ind w:left="426" w:hanging="426"/>
      </w:pPr>
      <w:r w:rsidRPr="00664B7D">
        <w:t xml:space="preserve">Poza ww. wymogami </w:t>
      </w:r>
      <w:r w:rsidR="00B443BA" w:rsidRPr="00664B7D">
        <w:t>B</w:t>
      </w:r>
      <w:r w:rsidRPr="00664B7D">
        <w:t>eneficjent nie powinien zobowią</w:t>
      </w:r>
      <w:r w:rsidR="00EE6487" w:rsidRPr="00664B7D">
        <w:t xml:space="preserve">zywać </w:t>
      </w:r>
      <w:proofErr w:type="spellStart"/>
      <w:r w:rsidR="00EE6487" w:rsidRPr="00664B7D">
        <w:t>G</w:t>
      </w:r>
      <w:r w:rsidRPr="00664B7D">
        <w:t>rantobiorców</w:t>
      </w:r>
      <w:proofErr w:type="spellEnd"/>
      <w:r w:rsidRPr="00664B7D">
        <w:t xml:space="preserve"> </w:t>
      </w:r>
      <w:r w:rsidR="00BD272D">
        <w:br/>
      </w:r>
      <w:r w:rsidRPr="00664B7D">
        <w:t>do</w:t>
      </w:r>
      <w:r w:rsidR="00BD56DA" w:rsidRPr="00664B7D">
        <w:t xml:space="preserve"> </w:t>
      </w:r>
      <w:r w:rsidRPr="00664B7D">
        <w:t xml:space="preserve">stosowania Wytycznych kwalifikowalności przy ponoszeniu wydatków. </w:t>
      </w:r>
      <w:proofErr w:type="spellStart"/>
      <w:r w:rsidRPr="00664B7D">
        <w:t>Grantobiorców</w:t>
      </w:r>
      <w:proofErr w:type="spellEnd"/>
      <w:r w:rsidR="00BD56DA" w:rsidRPr="00664B7D">
        <w:t xml:space="preserve"> </w:t>
      </w:r>
      <w:r w:rsidRPr="00664B7D">
        <w:t xml:space="preserve">wiążą natomiast zasady określone przez </w:t>
      </w:r>
      <w:r w:rsidR="001F6C48" w:rsidRPr="00664B7D">
        <w:t>B</w:t>
      </w:r>
      <w:r w:rsidRPr="00664B7D">
        <w:t>eneficjenta w</w:t>
      </w:r>
      <w:r w:rsidR="00DF1D67" w:rsidRPr="00664B7D">
        <w:t xml:space="preserve"> Regulaminie </w:t>
      </w:r>
      <w:r w:rsidRPr="00664B7D">
        <w:t>dotyczący</w:t>
      </w:r>
      <w:r w:rsidR="00AD6C1C">
        <w:t>m</w:t>
      </w:r>
      <w:r w:rsidR="00BD56DA" w:rsidRPr="00664B7D">
        <w:t xml:space="preserve"> </w:t>
      </w:r>
      <w:r w:rsidRPr="00664B7D">
        <w:t>realizacji projektu grantowego oraz w umowie o powierzenie grantu.</w:t>
      </w:r>
    </w:p>
    <w:p w14:paraId="0E63CD56" w14:textId="04700DEF" w:rsidR="00885A78" w:rsidRPr="00664B7D" w:rsidRDefault="001F6C48" w:rsidP="00A5587E">
      <w:pPr>
        <w:pStyle w:val="TreNum-K"/>
        <w:numPr>
          <w:ilvl w:val="0"/>
          <w:numId w:val="7"/>
        </w:numPr>
        <w:ind w:left="426" w:hanging="426"/>
      </w:pPr>
      <w:r w:rsidRPr="00A5587E">
        <w:lastRenderedPageBreak/>
        <w:t>Regulamin</w:t>
      </w:r>
      <w:r w:rsidRPr="00664B7D">
        <w:t xml:space="preserve"> przyznawania grantów powinien</w:t>
      </w:r>
      <w:r w:rsidR="007A7DB6" w:rsidRPr="00664B7D">
        <w:t xml:space="preserve"> uwzględniać co najmniej wymienione poniżej kwestie:</w:t>
      </w:r>
    </w:p>
    <w:p w14:paraId="756A5974" w14:textId="50045197" w:rsidR="00885A78" w:rsidRPr="00664B7D" w:rsidRDefault="00EE6487" w:rsidP="00F15960">
      <w:pPr>
        <w:pStyle w:val="TreNum-K"/>
        <w:numPr>
          <w:ilvl w:val="0"/>
          <w:numId w:val="41"/>
        </w:numPr>
        <w:ind w:left="426" w:hanging="426"/>
      </w:pPr>
      <w:r w:rsidRPr="00664B7D">
        <w:t xml:space="preserve">zapewnienie wyboru </w:t>
      </w:r>
      <w:proofErr w:type="spellStart"/>
      <w:r w:rsidRPr="00664B7D">
        <w:t>Gr</w:t>
      </w:r>
      <w:r w:rsidR="007A7DB6" w:rsidRPr="00664B7D">
        <w:t>antobiorców</w:t>
      </w:r>
      <w:proofErr w:type="spellEnd"/>
      <w:r w:rsidR="007A7DB6" w:rsidRPr="00664B7D">
        <w:t xml:space="preserve"> w otwartym naborze, z zachowaniem</w:t>
      </w:r>
      <w:r w:rsidR="00885A78" w:rsidRPr="00664B7D">
        <w:t xml:space="preserve"> </w:t>
      </w:r>
      <w:r w:rsidR="007A7DB6" w:rsidRPr="00664B7D">
        <w:t>zasady bezstronności i przejrzystości;</w:t>
      </w:r>
    </w:p>
    <w:p w14:paraId="1843B9F7" w14:textId="73B5E067" w:rsidR="00451D4F" w:rsidRDefault="007A7DB6" w:rsidP="00F15960">
      <w:pPr>
        <w:pStyle w:val="TreNum-K"/>
        <w:numPr>
          <w:ilvl w:val="0"/>
          <w:numId w:val="41"/>
        </w:numPr>
        <w:ind w:left="426" w:hanging="426"/>
      </w:pPr>
      <w:r w:rsidRPr="00664B7D">
        <w:t>ogólny opis przedmiotu grantów</w:t>
      </w:r>
      <w:r w:rsidR="00451D4F">
        <w:t>;</w:t>
      </w:r>
      <w:r w:rsidRPr="00664B7D">
        <w:t xml:space="preserve"> </w:t>
      </w:r>
    </w:p>
    <w:p w14:paraId="47D8DA71" w14:textId="3D054670" w:rsidR="00885A78" w:rsidRPr="00664B7D" w:rsidRDefault="00461034" w:rsidP="00F15960">
      <w:pPr>
        <w:pStyle w:val="TreNum-K"/>
        <w:numPr>
          <w:ilvl w:val="0"/>
          <w:numId w:val="41"/>
        </w:numPr>
        <w:ind w:left="426" w:hanging="426"/>
      </w:pPr>
      <w:r w:rsidRPr="00664B7D">
        <w:t>specyfikację</w:t>
      </w:r>
      <w:r w:rsidR="007A7DB6" w:rsidRPr="00664B7D">
        <w:t xml:space="preserve"> rezultatów, które mają być</w:t>
      </w:r>
      <w:r w:rsidR="00885A78" w:rsidRPr="00664B7D">
        <w:t xml:space="preserve"> </w:t>
      </w:r>
      <w:r w:rsidR="007A7DB6" w:rsidRPr="00664B7D">
        <w:t>osiągnięte</w:t>
      </w:r>
      <w:r w:rsidR="00451D4F">
        <w:t>;</w:t>
      </w:r>
    </w:p>
    <w:p w14:paraId="284195C7" w14:textId="7EABF82A" w:rsidR="007A7DB6" w:rsidRPr="00664B7D" w:rsidRDefault="007A7DB6" w:rsidP="00F15960">
      <w:pPr>
        <w:pStyle w:val="TreNum-K"/>
        <w:numPr>
          <w:ilvl w:val="0"/>
          <w:numId w:val="41"/>
        </w:numPr>
        <w:ind w:left="426" w:hanging="426"/>
      </w:pPr>
      <w:r w:rsidRPr="00664B7D">
        <w:t>kryteria udzielania grantów zgodne z ogólnym opisem przedstawionym we</w:t>
      </w:r>
      <w:r w:rsidR="00885A78" w:rsidRPr="00664B7D">
        <w:t xml:space="preserve"> </w:t>
      </w:r>
      <w:r w:rsidRPr="00664B7D">
        <w:t xml:space="preserve">wniosku </w:t>
      </w:r>
      <w:r w:rsidR="00BD272D">
        <w:br/>
      </w:r>
      <w:r w:rsidRPr="00664B7D">
        <w:t>o dofinansowanie projektu grantowego:</w:t>
      </w:r>
    </w:p>
    <w:p w14:paraId="11AEC19F" w14:textId="1CB281C4" w:rsidR="00885A78" w:rsidRPr="00664B7D" w:rsidRDefault="00885A78" w:rsidP="00BD272D">
      <w:pPr>
        <w:pStyle w:val="TreNum-K"/>
        <w:ind w:left="426" w:hanging="284"/>
      </w:pPr>
      <w:r w:rsidRPr="00664B7D">
        <w:t xml:space="preserve">- </w:t>
      </w:r>
      <w:r w:rsidRPr="00664B7D">
        <w:tab/>
      </w:r>
      <w:r w:rsidR="007A7DB6" w:rsidRPr="00664B7D">
        <w:t>kryteria o char</w:t>
      </w:r>
      <w:r w:rsidR="00EE6487" w:rsidRPr="00664B7D">
        <w:t xml:space="preserve">akterze podmiotowym (dotyczące </w:t>
      </w:r>
      <w:proofErr w:type="spellStart"/>
      <w:r w:rsidR="00EE6487" w:rsidRPr="00664B7D">
        <w:t>G</w:t>
      </w:r>
      <w:r w:rsidR="007A7DB6" w:rsidRPr="00664B7D">
        <w:t>rantobiorców</w:t>
      </w:r>
      <w:proofErr w:type="spellEnd"/>
      <w:r w:rsidR="007A7DB6" w:rsidRPr="00664B7D">
        <w:t>)</w:t>
      </w:r>
      <w:r w:rsidRPr="00664B7D">
        <w:t xml:space="preserve"> określające profil </w:t>
      </w:r>
      <w:proofErr w:type="spellStart"/>
      <w:r w:rsidR="00EE6487" w:rsidRPr="00664B7D">
        <w:t>G</w:t>
      </w:r>
      <w:r w:rsidR="007A7DB6" w:rsidRPr="00664B7D">
        <w:t>rantob</w:t>
      </w:r>
      <w:r w:rsidR="00EE6487" w:rsidRPr="00664B7D">
        <w:t>iorcy</w:t>
      </w:r>
      <w:proofErr w:type="spellEnd"/>
      <w:r w:rsidR="00EE6487" w:rsidRPr="00664B7D">
        <w:t xml:space="preserve">, którego </w:t>
      </w:r>
      <w:proofErr w:type="spellStart"/>
      <w:r w:rsidR="00EE6487" w:rsidRPr="00664B7D">
        <w:t>G</w:t>
      </w:r>
      <w:r w:rsidR="007A7DB6" w:rsidRPr="00664B7D">
        <w:t>rantodawca</w:t>
      </w:r>
      <w:proofErr w:type="spellEnd"/>
      <w:r w:rsidR="007A7DB6" w:rsidRPr="00664B7D">
        <w:t xml:space="preserve"> chce objąć projektem.</w:t>
      </w:r>
      <w:r w:rsidRPr="00664B7D">
        <w:t xml:space="preserve"> </w:t>
      </w:r>
      <w:r w:rsidR="007A7DB6" w:rsidRPr="00664B7D">
        <w:t>W kryteriach udzielania grantów powinny zaś zostać odzwierciedlone, m.in.</w:t>
      </w:r>
      <w:r w:rsidRPr="00664B7D">
        <w:t xml:space="preserve"> następujące aspekty:</w:t>
      </w:r>
    </w:p>
    <w:p w14:paraId="666AED5B" w14:textId="41C23338" w:rsidR="00885A78" w:rsidRPr="00664B7D" w:rsidRDefault="00EE6487" w:rsidP="00F15960">
      <w:pPr>
        <w:pStyle w:val="TreNum-K"/>
        <w:numPr>
          <w:ilvl w:val="0"/>
          <w:numId w:val="42"/>
        </w:numPr>
        <w:ind w:left="851" w:hanging="425"/>
      </w:pPr>
      <w:r w:rsidRPr="00664B7D">
        <w:t xml:space="preserve">sprawdzenie, czy </w:t>
      </w:r>
      <w:proofErr w:type="spellStart"/>
      <w:r w:rsidRPr="00664B7D">
        <w:t>G</w:t>
      </w:r>
      <w:r w:rsidR="007A7DB6" w:rsidRPr="00664B7D">
        <w:t>rantobiorca</w:t>
      </w:r>
      <w:proofErr w:type="spellEnd"/>
      <w:r w:rsidR="007A7DB6" w:rsidRPr="00664B7D">
        <w:t xml:space="preserve"> należy do katalogu podmiotów</w:t>
      </w:r>
      <w:r w:rsidR="00885A78" w:rsidRPr="00664B7D">
        <w:t xml:space="preserve"> </w:t>
      </w:r>
      <w:r w:rsidR="007A7DB6" w:rsidRPr="00664B7D">
        <w:t xml:space="preserve">uprawnionych </w:t>
      </w:r>
      <w:r w:rsidR="00BD272D">
        <w:br/>
      </w:r>
      <w:r w:rsidR="007A7DB6" w:rsidRPr="00664B7D">
        <w:t>do wsparcia zgodnie z założeniami wniosku i</w:t>
      </w:r>
      <w:r w:rsidR="00885A78" w:rsidRPr="00664B7D">
        <w:t xml:space="preserve"> </w:t>
      </w:r>
      <w:r w:rsidR="007A7DB6" w:rsidRPr="00664B7D">
        <w:t xml:space="preserve">wskazanie, w jaki sposób zostanie </w:t>
      </w:r>
      <w:r w:rsidR="00BD272D">
        <w:br/>
      </w:r>
      <w:r w:rsidR="007A7DB6" w:rsidRPr="00664B7D">
        <w:t>to zweryfikowane (np. na</w:t>
      </w:r>
      <w:r w:rsidR="00885A78" w:rsidRPr="00664B7D">
        <w:t xml:space="preserve"> </w:t>
      </w:r>
      <w:r w:rsidR="007A7DB6" w:rsidRPr="00664B7D">
        <w:t>podstawie kopii dokumentów),</w:t>
      </w:r>
    </w:p>
    <w:p w14:paraId="3BDC2859" w14:textId="77777777" w:rsidR="004F6154" w:rsidRDefault="00EE6487" w:rsidP="00F15960">
      <w:pPr>
        <w:pStyle w:val="TreNum-K"/>
        <w:numPr>
          <w:ilvl w:val="0"/>
          <w:numId w:val="42"/>
        </w:numPr>
        <w:ind w:left="851" w:hanging="425"/>
      </w:pPr>
      <w:r w:rsidRPr="00664B7D">
        <w:t xml:space="preserve">weryfikacja wiarygodności </w:t>
      </w:r>
      <w:proofErr w:type="spellStart"/>
      <w:r w:rsidRPr="00664B7D">
        <w:t>G</w:t>
      </w:r>
      <w:r w:rsidR="007A7DB6" w:rsidRPr="00664B7D">
        <w:t>rantobiorcy</w:t>
      </w:r>
      <w:proofErr w:type="spellEnd"/>
      <w:r w:rsidR="007A7DB6" w:rsidRPr="00664B7D">
        <w:t xml:space="preserve"> oraz opis sposobu, w jaki ta</w:t>
      </w:r>
      <w:r w:rsidR="00885A78" w:rsidRPr="00664B7D">
        <w:t xml:space="preserve"> </w:t>
      </w:r>
      <w:r w:rsidR="007A7DB6" w:rsidRPr="00664B7D">
        <w:t>weryfikacja zostanie dokonana (np. może to być weryfikacja</w:t>
      </w:r>
      <w:r w:rsidR="00885A78" w:rsidRPr="00664B7D">
        <w:t xml:space="preserve"> </w:t>
      </w:r>
      <w:r w:rsidR="007A7DB6" w:rsidRPr="00664B7D">
        <w:t>doświadczenia podmiotu ubiegającego się o grant w realizacji zadań</w:t>
      </w:r>
      <w:r w:rsidR="00885A78" w:rsidRPr="00664B7D">
        <w:t xml:space="preserve"> </w:t>
      </w:r>
      <w:r w:rsidR="007A7DB6" w:rsidRPr="00664B7D">
        <w:t>w podobnym zakresie);</w:t>
      </w:r>
    </w:p>
    <w:p w14:paraId="0301D8DF" w14:textId="6FB9897B" w:rsidR="007A7DB6" w:rsidRPr="00664B7D" w:rsidRDefault="00EE6487" w:rsidP="00F15960">
      <w:pPr>
        <w:pStyle w:val="TreNum-K"/>
        <w:numPr>
          <w:ilvl w:val="0"/>
          <w:numId w:val="42"/>
        </w:numPr>
        <w:ind w:left="851" w:hanging="425"/>
      </w:pPr>
      <w:r w:rsidRPr="00664B7D">
        <w:t xml:space="preserve">sprawdzenie, czy </w:t>
      </w:r>
      <w:proofErr w:type="spellStart"/>
      <w:r w:rsidRPr="00664B7D">
        <w:t>G</w:t>
      </w:r>
      <w:r w:rsidR="007A7DB6" w:rsidRPr="00664B7D">
        <w:t>rantobiorca</w:t>
      </w:r>
      <w:proofErr w:type="spellEnd"/>
      <w:r w:rsidR="007A7DB6" w:rsidRPr="00664B7D">
        <w:t xml:space="preserve"> nie jest wykluczony z możliwości otrzymania</w:t>
      </w:r>
      <w:r w:rsidR="00885A78" w:rsidRPr="00664B7D">
        <w:t xml:space="preserve"> </w:t>
      </w:r>
      <w:r w:rsidR="007A7DB6" w:rsidRPr="00664B7D">
        <w:t>środków;</w:t>
      </w:r>
    </w:p>
    <w:p w14:paraId="31A14938" w14:textId="3665BF26" w:rsidR="007A7DB6" w:rsidRPr="00664B7D" w:rsidRDefault="00885A78" w:rsidP="00BD272D">
      <w:pPr>
        <w:pStyle w:val="TreNum-K"/>
        <w:ind w:left="426" w:hanging="284"/>
      </w:pPr>
      <w:r w:rsidRPr="00664B7D">
        <w:t>-</w:t>
      </w:r>
      <w:r w:rsidRPr="00664B7D">
        <w:tab/>
      </w:r>
      <w:r w:rsidR="007A7DB6" w:rsidRPr="00664B7D">
        <w:t>inne kryteria</w:t>
      </w:r>
      <w:r w:rsidR="00EE6487" w:rsidRPr="00664B7D">
        <w:t xml:space="preserve"> merytoryczne odnoszące się do </w:t>
      </w:r>
      <w:proofErr w:type="spellStart"/>
      <w:r w:rsidR="00EE6487" w:rsidRPr="00664B7D">
        <w:t>G</w:t>
      </w:r>
      <w:r w:rsidR="007A7DB6" w:rsidRPr="00664B7D">
        <w:t>rantobiorcy</w:t>
      </w:r>
      <w:proofErr w:type="spellEnd"/>
      <w:r w:rsidR="007A7DB6" w:rsidRPr="00664B7D">
        <w:t>, o ile zostały</w:t>
      </w:r>
      <w:r w:rsidRPr="00664B7D">
        <w:t xml:space="preserve"> </w:t>
      </w:r>
      <w:r w:rsidR="004D49ED" w:rsidRPr="00664B7D">
        <w:t>przewidziane przez B</w:t>
      </w:r>
      <w:r w:rsidR="007A7DB6" w:rsidRPr="00664B7D">
        <w:t>eneficjenta;</w:t>
      </w:r>
    </w:p>
    <w:p w14:paraId="18534D19" w14:textId="0E49E3CD" w:rsidR="007A7DB6" w:rsidRPr="00664B7D" w:rsidRDefault="007A7DB6" w:rsidP="00F15960">
      <w:pPr>
        <w:pStyle w:val="TreNum-K"/>
        <w:numPr>
          <w:ilvl w:val="0"/>
          <w:numId w:val="43"/>
        </w:numPr>
        <w:ind w:left="426" w:hanging="426"/>
      </w:pPr>
      <w:r w:rsidRPr="00664B7D">
        <w:t>kryteria o charakterze przedmiotowym (dotyczące działań do zrealizowania</w:t>
      </w:r>
      <w:r w:rsidR="00885A78" w:rsidRPr="00664B7D">
        <w:t xml:space="preserve"> </w:t>
      </w:r>
      <w:r w:rsidR="00EE6487" w:rsidRPr="00664B7D">
        <w:t xml:space="preserve">przez </w:t>
      </w:r>
      <w:proofErr w:type="spellStart"/>
      <w:r w:rsidR="00EE6487" w:rsidRPr="00664B7D">
        <w:t>G</w:t>
      </w:r>
      <w:r w:rsidRPr="00664B7D">
        <w:t>rantobiorcę</w:t>
      </w:r>
      <w:proofErr w:type="spellEnd"/>
      <w:r w:rsidRPr="00664B7D">
        <w:t>), tj. kryteria odnoszące się do przedmiotu grantu.</w:t>
      </w:r>
    </w:p>
    <w:p w14:paraId="21782573" w14:textId="0EB660AD" w:rsidR="00DD006E" w:rsidRPr="00664B7D" w:rsidRDefault="007A7DB6" w:rsidP="00A5587E">
      <w:pPr>
        <w:pStyle w:val="TreNum-K"/>
        <w:numPr>
          <w:ilvl w:val="0"/>
          <w:numId w:val="7"/>
        </w:numPr>
        <w:ind w:left="426" w:hanging="426"/>
      </w:pPr>
      <w:proofErr w:type="spellStart"/>
      <w:r w:rsidRPr="00664B7D">
        <w:t>Grantodawca</w:t>
      </w:r>
      <w:proofErr w:type="spellEnd"/>
      <w:r w:rsidRPr="00664B7D">
        <w:t xml:space="preserve"> przed przyznaniem grantu ma</w:t>
      </w:r>
      <w:r w:rsidR="00885A78" w:rsidRPr="00664B7D">
        <w:t xml:space="preserve"> </w:t>
      </w:r>
      <w:r w:rsidRPr="00664B7D">
        <w:t>obowiązek</w:t>
      </w:r>
      <w:r w:rsidR="00EE6487" w:rsidRPr="00664B7D">
        <w:t xml:space="preserve"> zweryfikować, czy potencjalny </w:t>
      </w:r>
      <w:proofErr w:type="spellStart"/>
      <w:r w:rsidR="00EE6487" w:rsidRPr="00664B7D">
        <w:t>G</w:t>
      </w:r>
      <w:r w:rsidRPr="00664B7D">
        <w:t>rantobiorca</w:t>
      </w:r>
      <w:proofErr w:type="spellEnd"/>
      <w:r w:rsidRPr="00664B7D">
        <w:t xml:space="preserve"> gwarantuje</w:t>
      </w:r>
      <w:r w:rsidR="00885A78" w:rsidRPr="00664B7D">
        <w:t xml:space="preserve"> </w:t>
      </w:r>
      <w:r w:rsidRPr="00664B7D">
        <w:t xml:space="preserve">realizację działań zgodnie z założeniami projektu grantowego. W </w:t>
      </w:r>
      <w:r w:rsidR="00864967" w:rsidRPr="00664B7D">
        <w:t>R</w:t>
      </w:r>
      <w:r w:rsidR="00DD006E" w:rsidRPr="00664B7D">
        <w:t>egulaminie przyznawania grantów</w:t>
      </w:r>
      <w:r w:rsidR="00885A78" w:rsidRPr="00664B7D">
        <w:t xml:space="preserve"> </w:t>
      </w:r>
      <w:r w:rsidRPr="00664B7D">
        <w:t xml:space="preserve">należy opisać, w jaki sposób, przy użyciu jakich narzędzi i zasobów </w:t>
      </w:r>
      <w:r w:rsidR="00DD006E" w:rsidRPr="00664B7D">
        <w:t>B</w:t>
      </w:r>
      <w:r w:rsidRPr="00664B7D">
        <w:t>eneficjent</w:t>
      </w:r>
      <w:r w:rsidR="00885A78" w:rsidRPr="00664B7D">
        <w:t xml:space="preserve"> </w:t>
      </w:r>
      <w:r w:rsidRPr="00664B7D">
        <w:t>będzie dokonywał tej weryfikacji.</w:t>
      </w:r>
      <w:r w:rsidR="00885A78" w:rsidRPr="00664B7D">
        <w:t xml:space="preserve"> </w:t>
      </w:r>
      <w:r w:rsidRPr="00664B7D">
        <w:t xml:space="preserve">Wprowadzenie kryteriów oceny ma na celu jej </w:t>
      </w:r>
      <w:proofErr w:type="spellStart"/>
      <w:r w:rsidRPr="00664B7D">
        <w:t>uspójnienie</w:t>
      </w:r>
      <w:proofErr w:type="spellEnd"/>
      <w:r w:rsidRPr="00664B7D">
        <w:t xml:space="preserve"> i zapewnienie</w:t>
      </w:r>
      <w:r w:rsidR="00885A78" w:rsidRPr="00664B7D">
        <w:t xml:space="preserve"> </w:t>
      </w:r>
      <w:r w:rsidRPr="00664B7D">
        <w:t xml:space="preserve">jednolitego podejścia </w:t>
      </w:r>
      <w:r w:rsidR="00BD272D">
        <w:br/>
      </w:r>
      <w:r w:rsidRPr="00664B7D">
        <w:t>do oce</w:t>
      </w:r>
      <w:r w:rsidR="00EE6487" w:rsidRPr="00664B7D">
        <w:t xml:space="preserve">nianych wniosków potencjalnych </w:t>
      </w:r>
      <w:proofErr w:type="spellStart"/>
      <w:r w:rsidR="00EE6487" w:rsidRPr="00664B7D">
        <w:t>G</w:t>
      </w:r>
      <w:r w:rsidRPr="00664B7D">
        <w:t>rantobiorców</w:t>
      </w:r>
      <w:proofErr w:type="spellEnd"/>
      <w:r w:rsidRPr="00664B7D">
        <w:t>.</w:t>
      </w:r>
      <w:r w:rsidR="00885A78" w:rsidRPr="00664B7D">
        <w:t xml:space="preserve"> </w:t>
      </w:r>
      <w:r w:rsidR="00864967" w:rsidRPr="00664B7D">
        <w:t>W ww. R</w:t>
      </w:r>
      <w:r w:rsidR="004B7419" w:rsidRPr="00664B7D">
        <w:t>egulaminie należy uwzględnić:</w:t>
      </w:r>
    </w:p>
    <w:p w14:paraId="5271D2A3" w14:textId="7A1A8DA3" w:rsidR="00885A78" w:rsidRDefault="007A7DB6" w:rsidP="00F15960">
      <w:pPr>
        <w:pStyle w:val="TreNum-K"/>
        <w:numPr>
          <w:ilvl w:val="0"/>
          <w:numId w:val="43"/>
        </w:numPr>
        <w:ind w:left="426" w:hanging="426"/>
      </w:pPr>
      <w:r w:rsidRPr="00664B7D">
        <w:t>wagi punktowe do kryteriów i sposób ich oceny;</w:t>
      </w:r>
    </w:p>
    <w:p w14:paraId="67B8AB83" w14:textId="6676852D" w:rsidR="004F6154" w:rsidRPr="00664B7D" w:rsidRDefault="004F6154" w:rsidP="00F15960">
      <w:pPr>
        <w:pStyle w:val="TreNum-K"/>
        <w:numPr>
          <w:ilvl w:val="0"/>
          <w:numId w:val="43"/>
        </w:numPr>
        <w:ind w:left="426" w:hanging="426"/>
      </w:pPr>
      <w:r>
        <w:t>kwotę przeznaczoną na granty w danej rundzie naboru;</w:t>
      </w:r>
    </w:p>
    <w:p w14:paraId="0DFD9D7B" w14:textId="17FC7463" w:rsidR="00885A78" w:rsidRDefault="007A7DB6" w:rsidP="00F15960">
      <w:pPr>
        <w:pStyle w:val="TreNum-K"/>
        <w:numPr>
          <w:ilvl w:val="0"/>
          <w:numId w:val="43"/>
        </w:numPr>
        <w:ind w:left="426" w:hanging="426"/>
      </w:pPr>
      <w:r w:rsidRPr="00664B7D">
        <w:t>maksymalną wysokość grantu, a także czynniki, które będą miały wpływ na</w:t>
      </w:r>
      <w:r w:rsidR="00885A78" w:rsidRPr="00664B7D">
        <w:t xml:space="preserve"> </w:t>
      </w:r>
      <w:r w:rsidRPr="00664B7D">
        <w:t>wysokość grantu, o ile zakłada się różne wysokości grantów;</w:t>
      </w:r>
    </w:p>
    <w:p w14:paraId="4B09B2E9" w14:textId="6A67B200" w:rsidR="004F6154" w:rsidRPr="00664B7D" w:rsidRDefault="004F6154" w:rsidP="00F15960">
      <w:pPr>
        <w:pStyle w:val="TreNum-K"/>
        <w:numPr>
          <w:ilvl w:val="0"/>
          <w:numId w:val="43"/>
        </w:numPr>
        <w:ind w:left="426" w:hanging="426"/>
      </w:pPr>
      <w:r>
        <w:t>maksymalny okres realizacji grantu</w:t>
      </w:r>
      <w:r w:rsidR="0028694E">
        <w:t xml:space="preserve"> przez </w:t>
      </w:r>
      <w:proofErr w:type="spellStart"/>
      <w:r w:rsidR="0028694E">
        <w:t>Grantobiorcę</w:t>
      </w:r>
      <w:proofErr w:type="spellEnd"/>
      <w:r w:rsidR="0028694E">
        <w:t>;</w:t>
      </w:r>
    </w:p>
    <w:p w14:paraId="4E2CE6F5" w14:textId="04437CA2" w:rsidR="0018369A" w:rsidRPr="00664B7D" w:rsidRDefault="007A7DB6" w:rsidP="00F15960">
      <w:pPr>
        <w:pStyle w:val="TreNum-K"/>
        <w:numPr>
          <w:ilvl w:val="0"/>
          <w:numId w:val="43"/>
        </w:numPr>
        <w:ind w:left="426" w:hanging="426"/>
      </w:pPr>
      <w:r w:rsidRPr="00664B7D">
        <w:lastRenderedPageBreak/>
        <w:t xml:space="preserve">sposób rozliczania grantu </w:t>
      </w:r>
      <w:r w:rsidR="0018369A" w:rsidRPr="00664B7D">
        <w:t>m. in. wymagane dokumenty potwierdzające zrealizowane zadania;</w:t>
      </w:r>
    </w:p>
    <w:p w14:paraId="591CDF5C" w14:textId="7BFDAEEE" w:rsidR="00D22262" w:rsidRPr="00664B7D" w:rsidRDefault="007A7DB6" w:rsidP="00F15960">
      <w:pPr>
        <w:pStyle w:val="TreNum-K"/>
        <w:numPr>
          <w:ilvl w:val="0"/>
          <w:numId w:val="43"/>
        </w:numPr>
        <w:ind w:left="426" w:hanging="426"/>
      </w:pPr>
      <w:r w:rsidRPr="00664B7D">
        <w:t>tryb aplikowania o granty oraz zasady oceny zgłaszanych pomysłów, w</w:t>
      </w:r>
      <w:r w:rsidR="00D22262" w:rsidRPr="00664B7D">
        <w:t xml:space="preserve"> </w:t>
      </w:r>
      <w:r w:rsidRPr="00664B7D">
        <w:t>szczególności:</w:t>
      </w:r>
    </w:p>
    <w:p w14:paraId="64561937" w14:textId="77777777" w:rsidR="00D22262" w:rsidRPr="00664B7D" w:rsidRDefault="00D22262" w:rsidP="00502B08">
      <w:pPr>
        <w:pStyle w:val="TreNum-K"/>
        <w:ind w:left="426" w:hanging="284"/>
      </w:pPr>
      <w:r w:rsidRPr="00664B7D">
        <w:t>-</w:t>
      </w:r>
      <w:r w:rsidRPr="00664B7D">
        <w:tab/>
      </w:r>
      <w:r w:rsidR="007A7DB6" w:rsidRPr="00664B7D">
        <w:t>rodzaj naboru: otwarty (ciągły) / zamknięty;</w:t>
      </w:r>
    </w:p>
    <w:p w14:paraId="3EE30208" w14:textId="74A61F03" w:rsidR="00D22262" w:rsidRPr="00664B7D" w:rsidRDefault="00D22262" w:rsidP="00502B08">
      <w:pPr>
        <w:pStyle w:val="TreNum-K"/>
        <w:ind w:left="426" w:hanging="284"/>
      </w:pPr>
      <w:r w:rsidRPr="00664B7D">
        <w:t>-</w:t>
      </w:r>
      <w:r w:rsidRPr="00664B7D">
        <w:tab/>
      </w:r>
      <w:r w:rsidR="007A7DB6" w:rsidRPr="00664B7D">
        <w:t xml:space="preserve">sposób </w:t>
      </w:r>
      <w:r w:rsidR="0018369A" w:rsidRPr="00664B7D">
        <w:t>aplikowania o grant</w:t>
      </w:r>
      <w:r w:rsidR="0028694E">
        <w:t xml:space="preserve"> (np. wzór wniosku)</w:t>
      </w:r>
      <w:r w:rsidR="0018369A" w:rsidRPr="00664B7D">
        <w:t>;</w:t>
      </w:r>
    </w:p>
    <w:p w14:paraId="373FF5CB" w14:textId="53B44749" w:rsidR="007A7DB6" w:rsidRPr="00664B7D" w:rsidRDefault="00D22262" w:rsidP="00502B08">
      <w:pPr>
        <w:pStyle w:val="TreNum-K"/>
        <w:ind w:left="426" w:hanging="284"/>
      </w:pPr>
      <w:r w:rsidRPr="00664B7D">
        <w:t>-</w:t>
      </w:r>
      <w:r w:rsidRPr="00664B7D">
        <w:tab/>
      </w:r>
      <w:r w:rsidR="007A7DB6" w:rsidRPr="00664B7D">
        <w:t>sposób dokonywania oceny</w:t>
      </w:r>
      <w:r w:rsidR="00EF753F" w:rsidRPr="00664B7D">
        <w:t xml:space="preserve"> wniosków o przyznanie grantów;</w:t>
      </w:r>
      <w:r w:rsidR="007A7DB6" w:rsidRPr="00664B7D">
        <w:t xml:space="preserve"> </w:t>
      </w:r>
    </w:p>
    <w:p w14:paraId="2980EE04" w14:textId="77777777" w:rsidR="00D22262" w:rsidRPr="00664B7D" w:rsidRDefault="00D22262" w:rsidP="0079016F">
      <w:pPr>
        <w:pStyle w:val="TreNum-K"/>
        <w:ind w:left="426" w:hanging="284"/>
      </w:pPr>
      <w:r w:rsidRPr="00664B7D">
        <w:t>-</w:t>
      </w:r>
      <w:r w:rsidRPr="00664B7D">
        <w:tab/>
      </w:r>
      <w:r w:rsidR="007A7DB6" w:rsidRPr="00664B7D">
        <w:t>czynniki (np. punktacja) decydujące o wyborze;</w:t>
      </w:r>
    </w:p>
    <w:p w14:paraId="21F6A800" w14:textId="77777777" w:rsidR="00D22262" w:rsidRPr="00664B7D" w:rsidRDefault="00D22262" w:rsidP="0079016F">
      <w:pPr>
        <w:pStyle w:val="TreNum-K"/>
        <w:ind w:left="426" w:hanging="284"/>
      </w:pPr>
      <w:r w:rsidRPr="00664B7D">
        <w:t>-</w:t>
      </w:r>
      <w:r w:rsidRPr="00664B7D">
        <w:tab/>
      </w:r>
      <w:r w:rsidR="007A7DB6" w:rsidRPr="00664B7D">
        <w:t>sposób składania i termin rozpatrywania skarg;</w:t>
      </w:r>
    </w:p>
    <w:p w14:paraId="7822246C" w14:textId="14226B86" w:rsidR="007A7DB6" w:rsidRPr="00664B7D" w:rsidRDefault="007A7DB6" w:rsidP="00F15960">
      <w:pPr>
        <w:pStyle w:val="TreNum-K"/>
        <w:numPr>
          <w:ilvl w:val="0"/>
          <w:numId w:val="44"/>
        </w:numPr>
        <w:ind w:left="426" w:hanging="426"/>
      </w:pPr>
      <w:r w:rsidRPr="00664B7D">
        <w:t>minimalny zakres</w:t>
      </w:r>
      <w:r w:rsidR="004D49ED" w:rsidRPr="00664B7D">
        <w:t xml:space="preserve"> informacji oczekiwanych przez B</w:t>
      </w:r>
      <w:r w:rsidRPr="00664B7D">
        <w:t>eneficjenta do</w:t>
      </w:r>
      <w:r w:rsidR="00D22262" w:rsidRPr="00664B7D">
        <w:t xml:space="preserve"> </w:t>
      </w:r>
      <w:r w:rsidRPr="00664B7D">
        <w:t>prze</w:t>
      </w:r>
      <w:r w:rsidR="00EE6487" w:rsidRPr="00664B7D">
        <w:t xml:space="preserve">dstawienia przez potencjalnego </w:t>
      </w:r>
      <w:proofErr w:type="spellStart"/>
      <w:r w:rsidR="00EE6487" w:rsidRPr="00664B7D">
        <w:t>G</w:t>
      </w:r>
      <w:r w:rsidRPr="00664B7D">
        <w:t>rantobiorcę</w:t>
      </w:r>
      <w:proofErr w:type="spellEnd"/>
      <w:r w:rsidRPr="00664B7D">
        <w:t xml:space="preserve"> dotyczących:</w:t>
      </w:r>
    </w:p>
    <w:p w14:paraId="13361E3A" w14:textId="77777777" w:rsidR="00D22262" w:rsidRPr="00664B7D" w:rsidRDefault="00D22262" w:rsidP="0018369A">
      <w:pPr>
        <w:pStyle w:val="TreNum-K"/>
        <w:ind w:left="426" w:hanging="284"/>
      </w:pPr>
      <w:r w:rsidRPr="00664B7D">
        <w:t>-</w:t>
      </w:r>
      <w:r w:rsidRPr="00664B7D">
        <w:tab/>
      </w:r>
      <w:r w:rsidR="007A7DB6" w:rsidRPr="00664B7D">
        <w:t>opisu działań – wskazującego na zgodność z założeniami projektu</w:t>
      </w:r>
      <w:r w:rsidRPr="00664B7D">
        <w:t xml:space="preserve"> </w:t>
      </w:r>
      <w:r w:rsidR="007A7DB6" w:rsidRPr="00664B7D">
        <w:t>grantowego;</w:t>
      </w:r>
    </w:p>
    <w:p w14:paraId="417A681A" w14:textId="6301D9B1" w:rsidR="007A7DB6" w:rsidRPr="00664B7D" w:rsidRDefault="00D22262" w:rsidP="0018369A">
      <w:pPr>
        <w:pStyle w:val="TreNum-K"/>
        <w:ind w:left="426" w:hanging="284"/>
      </w:pPr>
      <w:r w:rsidRPr="00664B7D">
        <w:t>-</w:t>
      </w:r>
      <w:r w:rsidRPr="00664B7D">
        <w:tab/>
      </w:r>
      <w:r w:rsidR="007A7DB6" w:rsidRPr="00664B7D">
        <w:t>wskaźników i zakładanych rezultatów wraz ze sposobem ich pomiaru i</w:t>
      </w:r>
      <w:r w:rsidRPr="00664B7D">
        <w:t xml:space="preserve"> </w:t>
      </w:r>
      <w:r w:rsidR="007A7DB6" w:rsidRPr="00664B7D">
        <w:t>wymogami jakościowymi (określane w sytuacji, gdy specyfikacja projektu</w:t>
      </w:r>
      <w:r w:rsidRPr="00664B7D">
        <w:t xml:space="preserve"> </w:t>
      </w:r>
      <w:r w:rsidR="007A7DB6" w:rsidRPr="00664B7D">
        <w:t>grantowego tego wymaga);</w:t>
      </w:r>
    </w:p>
    <w:p w14:paraId="198379DB" w14:textId="77777777" w:rsidR="00D22262" w:rsidRPr="00664B7D" w:rsidRDefault="00D22262" w:rsidP="0018369A">
      <w:pPr>
        <w:pStyle w:val="TreNum-K"/>
        <w:ind w:left="426" w:hanging="284"/>
      </w:pPr>
      <w:r w:rsidRPr="00664B7D">
        <w:t>-</w:t>
      </w:r>
      <w:r w:rsidRPr="00664B7D">
        <w:tab/>
      </w:r>
      <w:r w:rsidR="007A7DB6" w:rsidRPr="00664B7D">
        <w:t>harmonogramu realizacji grantu;</w:t>
      </w:r>
    </w:p>
    <w:p w14:paraId="50B7E95A" w14:textId="77777777" w:rsidR="00D22262" w:rsidRPr="00664B7D" w:rsidRDefault="00D22262" w:rsidP="0018369A">
      <w:pPr>
        <w:pStyle w:val="TreNum-K"/>
        <w:ind w:left="426" w:hanging="284"/>
      </w:pPr>
      <w:r w:rsidRPr="00664B7D">
        <w:t>-</w:t>
      </w:r>
      <w:r w:rsidRPr="00664B7D">
        <w:tab/>
      </w:r>
      <w:r w:rsidR="007A7DB6" w:rsidRPr="00664B7D">
        <w:t>sposobu szacowania grantu (budżet);</w:t>
      </w:r>
    </w:p>
    <w:p w14:paraId="47B8E2E7" w14:textId="58D5BA74" w:rsidR="00D22262" w:rsidRDefault="00664B7D" w:rsidP="00F15960">
      <w:pPr>
        <w:pStyle w:val="TreNum-K"/>
        <w:numPr>
          <w:ilvl w:val="0"/>
          <w:numId w:val="44"/>
        </w:numPr>
        <w:ind w:left="426" w:hanging="426"/>
      </w:pPr>
      <w:r w:rsidRPr="00664B7D">
        <w:t>jeśli zaplanowan</w:t>
      </w:r>
      <w:r w:rsidR="0018369A" w:rsidRPr="00664B7D">
        <w:t xml:space="preserve">o, </w:t>
      </w:r>
      <w:r w:rsidR="007A7DB6" w:rsidRPr="00664B7D">
        <w:t>limit cross-</w:t>
      </w:r>
      <w:proofErr w:type="spellStart"/>
      <w:r w:rsidR="007A7DB6" w:rsidRPr="00664B7D">
        <w:t>financin</w:t>
      </w:r>
      <w:r w:rsidR="00EE6487" w:rsidRPr="00664B7D">
        <w:t>gu</w:t>
      </w:r>
      <w:proofErr w:type="spellEnd"/>
      <w:r w:rsidR="00EE6487" w:rsidRPr="00664B7D">
        <w:t xml:space="preserve"> w grancie oraz zobowiązanie </w:t>
      </w:r>
      <w:proofErr w:type="spellStart"/>
      <w:r w:rsidR="00EE6487" w:rsidRPr="00664B7D">
        <w:t>G</w:t>
      </w:r>
      <w:r w:rsidR="007A7DB6" w:rsidRPr="00664B7D">
        <w:t>rantobiorcy</w:t>
      </w:r>
      <w:proofErr w:type="spellEnd"/>
      <w:r w:rsidR="007A7DB6" w:rsidRPr="00664B7D">
        <w:t xml:space="preserve"> do</w:t>
      </w:r>
      <w:r w:rsidR="00D22262" w:rsidRPr="00664B7D">
        <w:t xml:space="preserve"> </w:t>
      </w:r>
      <w:r w:rsidR="007A7DB6" w:rsidRPr="00664B7D">
        <w:t>przestrzegania trwał</w:t>
      </w:r>
      <w:r w:rsidR="004D49ED" w:rsidRPr="00664B7D">
        <w:t>ości projektu w przypadku, gdy B</w:t>
      </w:r>
      <w:r w:rsidR="007A7DB6" w:rsidRPr="00664B7D">
        <w:t>eneficjent w związku z</w:t>
      </w:r>
      <w:r w:rsidR="00D22262" w:rsidRPr="00664B7D">
        <w:t xml:space="preserve"> </w:t>
      </w:r>
      <w:r w:rsidR="00EE6487" w:rsidRPr="00664B7D">
        <w:t>wydatkami ponoszonym</w:t>
      </w:r>
      <w:r w:rsidR="00331CEA">
        <w:t>i</w:t>
      </w:r>
      <w:r w:rsidR="00EE6487" w:rsidRPr="00664B7D">
        <w:t xml:space="preserve"> przez </w:t>
      </w:r>
      <w:proofErr w:type="spellStart"/>
      <w:r w:rsidR="00EE6487" w:rsidRPr="00664B7D">
        <w:t>G</w:t>
      </w:r>
      <w:r w:rsidR="007A7DB6" w:rsidRPr="00664B7D">
        <w:t>rantobiorców</w:t>
      </w:r>
      <w:proofErr w:type="spellEnd"/>
      <w:r w:rsidR="007A7DB6" w:rsidRPr="00664B7D">
        <w:t xml:space="preserve"> w ramach cross-</w:t>
      </w:r>
      <w:proofErr w:type="spellStart"/>
      <w:r w:rsidR="007A7DB6" w:rsidRPr="00664B7D">
        <w:t>financingu</w:t>
      </w:r>
      <w:proofErr w:type="spellEnd"/>
      <w:r w:rsidR="007A7DB6" w:rsidRPr="00664B7D">
        <w:t xml:space="preserve"> jest</w:t>
      </w:r>
      <w:r w:rsidR="00D22262" w:rsidRPr="00664B7D">
        <w:t xml:space="preserve"> </w:t>
      </w:r>
      <w:r w:rsidR="007A7DB6" w:rsidRPr="00664B7D">
        <w:t>zobowiązany do zachowania trwałości projektu;</w:t>
      </w:r>
    </w:p>
    <w:p w14:paraId="35C87214" w14:textId="1E71251A" w:rsidR="002A28EC" w:rsidRPr="00664B7D" w:rsidRDefault="002A28EC" w:rsidP="00F15960">
      <w:pPr>
        <w:pStyle w:val="TreNum-K"/>
        <w:numPr>
          <w:ilvl w:val="0"/>
          <w:numId w:val="44"/>
        </w:numPr>
        <w:ind w:left="426" w:hanging="426"/>
      </w:pPr>
      <w:r>
        <w:t xml:space="preserve">sposób weryfikacji wystąpienia pomocy publicznej/de </w:t>
      </w:r>
      <w:proofErr w:type="spellStart"/>
      <w:r>
        <w:t>minimis</w:t>
      </w:r>
      <w:proofErr w:type="spellEnd"/>
      <w:r>
        <w:t>;</w:t>
      </w:r>
    </w:p>
    <w:p w14:paraId="2487A2B0" w14:textId="6391D0D8" w:rsidR="001E3FA1" w:rsidRPr="00664B7D" w:rsidRDefault="00EE6487" w:rsidP="00F15960">
      <w:pPr>
        <w:pStyle w:val="TreNum-K"/>
        <w:numPr>
          <w:ilvl w:val="0"/>
          <w:numId w:val="44"/>
        </w:numPr>
        <w:ind w:left="426" w:hanging="426"/>
      </w:pPr>
      <w:r w:rsidRPr="00664B7D">
        <w:t xml:space="preserve">zasady kontroli grantów przez </w:t>
      </w:r>
      <w:proofErr w:type="spellStart"/>
      <w:r w:rsidRPr="00664B7D">
        <w:t>G</w:t>
      </w:r>
      <w:r w:rsidR="007A7DB6" w:rsidRPr="00664B7D">
        <w:t>rantodawcę</w:t>
      </w:r>
      <w:proofErr w:type="spellEnd"/>
      <w:r w:rsidR="007A7DB6" w:rsidRPr="00664B7D">
        <w:t xml:space="preserve"> oraz jakie są możliwe reakcje na</w:t>
      </w:r>
      <w:r w:rsidR="001E3FA1" w:rsidRPr="00664B7D">
        <w:t xml:space="preserve"> </w:t>
      </w:r>
      <w:r w:rsidRPr="00664B7D">
        <w:t xml:space="preserve">wyniki kontroli ze strony </w:t>
      </w:r>
      <w:proofErr w:type="spellStart"/>
      <w:r w:rsidRPr="00664B7D">
        <w:t>G</w:t>
      </w:r>
      <w:r w:rsidR="007A7DB6" w:rsidRPr="00664B7D">
        <w:t>rantobiorcy</w:t>
      </w:r>
      <w:proofErr w:type="spellEnd"/>
      <w:r w:rsidR="007A7DB6" w:rsidRPr="00664B7D">
        <w:t>; w przypadku przeprowadzania kontroli</w:t>
      </w:r>
      <w:r w:rsidR="001E3FA1" w:rsidRPr="00664B7D">
        <w:t xml:space="preserve"> </w:t>
      </w:r>
      <w:r w:rsidRPr="00664B7D">
        <w:t xml:space="preserve">u </w:t>
      </w:r>
      <w:proofErr w:type="spellStart"/>
      <w:r w:rsidRPr="00664B7D">
        <w:t>G</w:t>
      </w:r>
      <w:r w:rsidR="007A7DB6" w:rsidRPr="00664B7D">
        <w:t>rantobiorców</w:t>
      </w:r>
      <w:proofErr w:type="spellEnd"/>
      <w:r w:rsidR="007A7DB6" w:rsidRPr="00664B7D">
        <w:t xml:space="preserve"> w miejscu rea</w:t>
      </w:r>
      <w:r w:rsidR="004D49ED" w:rsidRPr="00664B7D">
        <w:t>lizacji przedsięwzięcia, o ile B</w:t>
      </w:r>
      <w:r w:rsidR="007A7DB6" w:rsidRPr="00664B7D">
        <w:t>eneficjent nie</w:t>
      </w:r>
      <w:r w:rsidR="001E3FA1" w:rsidRPr="00664B7D">
        <w:t xml:space="preserve"> </w:t>
      </w:r>
      <w:r w:rsidR="007A7DB6" w:rsidRPr="00664B7D">
        <w:t xml:space="preserve">będzie kontrolował 100% grantów, w </w:t>
      </w:r>
      <w:r w:rsidR="00864967" w:rsidRPr="00664B7D">
        <w:t>Regulaminie</w:t>
      </w:r>
      <w:r w:rsidR="007A7DB6" w:rsidRPr="00664B7D">
        <w:t xml:space="preserve"> należy wskazać, że będą one</w:t>
      </w:r>
      <w:r w:rsidR="001E3FA1" w:rsidRPr="00664B7D">
        <w:t xml:space="preserve"> </w:t>
      </w:r>
      <w:r w:rsidR="007A7DB6" w:rsidRPr="00664B7D">
        <w:t>prowadzone planowo na próbie grantów oraz doraźnie w sytuacji wątpliwości</w:t>
      </w:r>
      <w:r w:rsidR="001E3FA1" w:rsidRPr="00664B7D">
        <w:t xml:space="preserve"> </w:t>
      </w:r>
      <w:r w:rsidR="004D49ED" w:rsidRPr="00664B7D">
        <w:t>B</w:t>
      </w:r>
      <w:r w:rsidR="007A7DB6" w:rsidRPr="00664B7D">
        <w:t>eneficjenta co do prawidłowości realizacji grantu;</w:t>
      </w:r>
    </w:p>
    <w:p w14:paraId="2B5ACBC4" w14:textId="6EE5DB81" w:rsidR="007A7DB6" w:rsidRPr="002E25EF" w:rsidRDefault="007A7DB6" w:rsidP="00F15960">
      <w:pPr>
        <w:pStyle w:val="TreNum-K"/>
        <w:numPr>
          <w:ilvl w:val="0"/>
          <w:numId w:val="44"/>
        </w:numPr>
        <w:ind w:left="425" w:hanging="425"/>
      </w:pPr>
      <w:r w:rsidRPr="002E25EF">
        <w:t>zabezpieczenie prawidłowej realizacji umowy o powierzenie grantu (np. w</w:t>
      </w:r>
      <w:r w:rsidR="005D784B" w:rsidRPr="002E25EF">
        <w:t xml:space="preserve"> </w:t>
      </w:r>
      <w:r w:rsidRPr="002E25EF">
        <w:t>postaci weksla in blanco) oraz termin jego zwrotu.</w:t>
      </w:r>
    </w:p>
    <w:p w14:paraId="1287A89A" w14:textId="31C907B8" w:rsidR="00EF753F" w:rsidRPr="00664B7D" w:rsidRDefault="007A7DB6" w:rsidP="00581E0B">
      <w:pPr>
        <w:pStyle w:val="TreNum-K"/>
        <w:numPr>
          <w:ilvl w:val="0"/>
          <w:numId w:val="7"/>
        </w:numPr>
        <w:ind w:left="426" w:hanging="426"/>
      </w:pPr>
      <w:r w:rsidRPr="00664B7D">
        <w:t xml:space="preserve">Beneficjent bierze odpowiedzialność </w:t>
      </w:r>
      <w:r w:rsidR="00BC2491">
        <w:t xml:space="preserve">finansową </w:t>
      </w:r>
      <w:r w:rsidRPr="00664B7D">
        <w:t>za zasadność oraz efektywność finansową</w:t>
      </w:r>
      <w:r w:rsidR="007F454D" w:rsidRPr="00664B7D">
        <w:t xml:space="preserve"> </w:t>
      </w:r>
      <w:r w:rsidRPr="00664B7D">
        <w:t>grantów oraz przeznaczenie grantu na działania określone we wniosku o</w:t>
      </w:r>
      <w:r w:rsidR="007F454D" w:rsidRPr="00664B7D">
        <w:t xml:space="preserve"> </w:t>
      </w:r>
      <w:r w:rsidRPr="00664B7D">
        <w:t>dofinansowanie, zgodnie z przedmiotem naboru.</w:t>
      </w:r>
    </w:p>
    <w:p w14:paraId="73FFC171" w14:textId="409F0FA8" w:rsidR="00EF753F" w:rsidRPr="00664B7D" w:rsidRDefault="007F454D" w:rsidP="00581E0B">
      <w:pPr>
        <w:pStyle w:val="TreNum-K"/>
        <w:numPr>
          <w:ilvl w:val="0"/>
          <w:numId w:val="7"/>
        </w:numPr>
      </w:pPr>
      <w:r w:rsidRPr="00664B7D">
        <w:t>Z</w:t>
      </w:r>
      <w:r w:rsidR="007A7DB6" w:rsidRPr="00664B7D">
        <w:t xml:space="preserve"> wybranymi </w:t>
      </w:r>
      <w:proofErr w:type="spellStart"/>
      <w:r w:rsidR="00EE6487" w:rsidRPr="00664B7D">
        <w:t>G</w:t>
      </w:r>
      <w:r w:rsidR="007A7DB6" w:rsidRPr="00664B7D">
        <w:t>rantobiorcami</w:t>
      </w:r>
      <w:proofErr w:type="spellEnd"/>
      <w:r w:rsidR="007A7DB6" w:rsidRPr="00664B7D">
        <w:t xml:space="preserve"> </w:t>
      </w:r>
      <w:r w:rsidR="00FD444D" w:rsidRPr="00664B7D">
        <w:t>B</w:t>
      </w:r>
      <w:r w:rsidR="007A7DB6" w:rsidRPr="00664B7D">
        <w:t xml:space="preserve">eneficjent projektu grantowego zawiera umowę </w:t>
      </w:r>
      <w:r w:rsidR="002A28EC">
        <w:br/>
      </w:r>
      <w:r w:rsidR="007A7DB6" w:rsidRPr="00664B7D">
        <w:t>o</w:t>
      </w:r>
      <w:r w:rsidRPr="00664B7D">
        <w:t xml:space="preserve"> </w:t>
      </w:r>
      <w:r w:rsidR="007A7DB6" w:rsidRPr="00664B7D">
        <w:t>powierzenie grantu.</w:t>
      </w:r>
    </w:p>
    <w:p w14:paraId="4891EF29" w14:textId="2974F37F" w:rsidR="007F454D" w:rsidRPr="00664B7D" w:rsidRDefault="007A7DB6" w:rsidP="00581E0B">
      <w:pPr>
        <w:pStyle w:val="TreNum-K"/>
        <w:numPr>
          <w:ilvl w:val="0"/>
          <w:numId w:val="7"/>
        </w:numPr>
      </w:pPr>
      <w:r w:rsidRPr="00664B7D">
        <w:t xml:space="preserve">Minimalny zakres umowy musi być zgodny z art. 41 ust. 7 ustawy wdrożeniowej </w:t>
      </w:r>
      <w:r w:rsidR="00BD272D">
        <w:br/>
      </w:r>
      <w:r w:rsidRPr="00664B7D">
        <w:t>i</w:t>
      </w:r>
      <w:r w:rsidR="007F454D" w:rsidRPr="00664B7D">
        <w:t xml:space="preserve"> </w:t>
      </w:r>
      <w:r w:rsidRPr="00664B7D">
        <w:t>obejmować w szczególności:</w:t>
      </w:r>
    </w:p>
    <w:p w14:paraId="1592907F" w14:textId="2A030E68" w:rsidR="007F454D" w:rsidRPr="00664B7D" w:rsidRDefault="007A7DB6" w:rsidP="00F15960">
      <w:pPr>
        <w:pStyle w:val="TreNum-K"/>
        <w:numPr>
          <w:ilvl w:val="0"/>
          <w:numId w:val="46"/>
        </w:numPr>
        <w:ind w:left="426" w:hanging="426"/>
      </w:pPr>
      <w:r w:rsidRPr="00664B7D">
        <w:lastRenderedPageBreak/>
        <w:t>cel</w:t>
      </w:r>
      <w:r w:rsidR="00EE6487" w:rsidRPr="00664B7D">
        <w:t xml:space="preserve"> projektu grantowego i zadania </w:t>
      </w:r>
      <w:proofErr w:type="spellStart"/>
      <w:r w:rsidR="00EE6487" w:rsidRPr="00664B7D">
        <w:t>G</w:t>
      </w:r>
      <w:r w:rsidRPr="00664B7D">
        <w:t>rantobiorcy</w:t>
      </w:r>
      <w:proofErr w:type="spellEnd"/>
      <w:r w:rsidRPr="00664B7D">
        <w:t xml:space="preserve"> objęte grantem;</w:t>
      </w:r>
    </w:p>
    <w:p w14:paraId="060528E6" w14:textId="3C2EE6C8" w:rsidR="007F454D" w:rsidRPr="00664B7D" w:rsidRDefault="00EE6487" w:rsidP="00F15960">
      <w:pPr>
        <w:pStyle w:val="TreNum-K"/>
        <w:numPr>
          <w:ilvl w:val="0"/>
          <w:numId w:val="45"/>
        </w:numPr>
        <w:ind w:left="426" w:hanging="426"/>
      </w:pPr>
      <w:r w:rsidRPr="00664B7D">
        <w:t xml:space="preserve">kwotę grantu i wkładu własnego </w:t>
      </w:r>
      <w:proofErr w:type="spellStart"/>
      <w:r w:rsidRPr="00664B7D">
        <w:t>G</w:t>
      </w:r>
      <w:r w:rsidR="007A7DB6" w:rsidRPr="00664B7D">
        <w:t>rantobiorcy</w:t>
      </w:r>
      <w:proofErr w:type="spellEnd"/>
      <w:r w:rsidR="007A7DB6" w:rsidRPr="00664B7D">
        <w:t xml:space="preserve"> (o ile jest wymagany w danym</w:t>
      </w:r>
      <w:r w:rsidR="007F454D" w:rsidRPr="00664B7D">
        <w:t xml:space="preserve"> </w:t>
      </w:r>
      <w:r w:rsidR="007A7DB6" w:rsidRPr="00664B7D">
        <w:t>p</w:t>
      </w:r>
      <w:r w:rsidRPr="00664B7D">
        <w:t xml:space="preserve">rojekcie </w:t>
      </w:r>
      <w:r w:rsidR="00BD272D">
        <w:br/>
      </w:r>
      <w:r w:rsidRPr="00664B7D">
        <w:t xml:space="preserve">od </w:t>
      </w:r>
      <w:proofErr w:type="spellStart"/>
      <w:r w:rsidRPr="00664B7D">
        <w:t>G</w:t>
      </w:r>
      <w:r w:rsidR="007A7DB6" w:rsidRPr="00664B7D">
        <w:t>rantobiorcy</w:t>
      </w:r>
      <w:proofErr w:type="spellEnd"/>
      <w:r w:rsidR="007A7DB6" w:rsidRPr="00664B7D">
        <w:t>);</w:t>
      </w:r>
    </w:p>
    <w:p w14:paraId="298FD064" w14:textId="6F261FB5" w:rsidR="007F454D" w:rsidRPr="00664B7D" w:rsidRDefault="007A7DB6" w:rsidP="00F15960">
      <w:pPr>
        <w:pStyle w:val="TreNum-K"/>
        <w:numPr>
          <w:ilvl w:val="0"/>
          <w:numId w:val="45"/>
        </w:numPr>
        <w:ind w:left="426" w:hanging="426"/>
      </w:pPr>
      <w:r w:rsidRPr="00664B7D">
        <w:t>warunki przekazania i rozliczenia grantu, w tym warunki rozliczania wydatków</w:t>
      </w:r>
      <w:r w:rsidR="007F454D" w:rsidRPr="00664B7D">
        <w:t xml:space="preserve"> </w:t>
      </w:r>
      <w:r w:rsidR="00EE6487" w:rsidRPr="00664B7D">
        <w:t xml:space="preserve">przez </w:t>
      </w:r>
      <w:proofErr w:type="spellStart"/>
      <w:r w:rsidR="00EE6487" w:rsidRPr="00664B7D">
        <w:t>G</w:t>
      </w:r>
      <w:r w:rsidRPr="00664B7D">
        <w:t>rantobiorcę</w:t>
      </w:r>
      <w:proofErr w:type="spellEnd"/>
      <w:r w:rsidRPr="00664B7D">
        <w:t xml:space="preserve"> dotyczące:</w:t>
      </w:r>
    </w:p>
    <w:p w14:paraId="4F4BFCE7" w14:textId="7EDD4EA0" w:rsidR="007F454D" w:rsidRPr="00664B7D" w:rsidRDefault="005D784B" w:rsidP="00502B08">
      <w:pPr>
        <w:pStyle w:val="TreNum-K"/>
        <w:ind w:left="426" w:hanging="284"/>
      </w:pPr>
      <w:r w:rsidRPr="00664B7D">
        <w:t>-</w:t>
      </w:r>
      <w:r w:rsidRPr="00664B7D">
        <w:tab/>
      </w:r>
      <w:r w:rsidR="007A7DB6" w:rsidRPr="00664B7D">
        <w:t>liczby transz z uwzględnieniem czasu realizacji grantu</w:t>
      </w:r>
      <w:r w:rsidR="00EF753F" w:rsidRPr="00664B7D">
        <w:t xml:space="preserve"> </w:t>
      </w:r>
      <w:r w:rsidR="007A7DB6" w:rsidRPr="00664B7D">
        <w:t>i zakończenia przedsięwzięcia grantowego,</w:t>
      </w:r>
    </w:p>
    <w:p w14:paraId="2BC022B0" w14:textId="71255AA0" w:rsidR="007F454D" w:rsidRPr="00664B7D" w:rsidRDefault="005D784B" w:rsidP="00502B08">
      <w:pPr>
        <w:pStyle w:val="TreNum-K"/>
        <w:ind w:left="426" w:hanging="284"/>
      </w:pPr>
      <w:r w:rsidRPr="00664B7D">
        <w:t>-</w:t>
      </w:r>
      <w:r w:rsidRPr="00664B7D">
        <w:tab/>
      </w:r>
      <w:r w:rsidR="007A7DB6" w:rsidRPr="00664B7D">
        <w:t>formy rozliczenia grantu i jego dokumentowanie,</w:t>
      </w:r>
    </w:p>
    <w:p w14:paraId="5C41A384" w14:textId="529FF897" w:rsidR="007F454D" w:rsidRPr="00664B7D" w:rsidRDefault="005D784B" w:rsidP="00BD272D">
      <w:pPr>
        <w:pStyle w:val="TreNum-K"/>
        <w:ind w:left="426" w:hanging="284"/>
      </w:pPr>
      <w:r w:rsidRPr="00664B7D">
        <w:t>-</w:t>
      </w:r>
      <w:r w:rsidRPr="00664B7D">
        <w:tab/>
      </w:r>
      <w:r w:rsidR="007A7DB6" w:rsidRPr="00664B7D">
        <w:t>powiązania wypłaty grantu z obowiązkiem przedstawienia:</w:t>
      </w:r>
    </w:p>
    <w:p w14:paraId="54D1E076" w14:textId="3E72D94D" w:rsidR="007F454D" w:rsidRPr="00664B7D" w:rsidRDefault="007A7DB6" w:rsidP="00F15960">
      <w:pPr>
        <w:pStyle w:val="TreNum-K"/>
        <w:numPr>
          <w:ilvl w:val="0"/>
          <w:numId w:val="55"/>
        </w:numPr>
        <w:ind w:left="851" w:hanging="425"/>
      </w:pPr>
      <w:r w:rsidRPr="00664B7D">
        <w:t>rozliczenia części lub całości grantu i ewentualnie dokumentów</w:t>
      </w:r>
      <w:r w:rsidR="007F454D" w:rsidRPr="00664B7D">
        <w:t xml:space="preserve"> </w:t>
      </w:r>
      <w:r w:rsidRPr="00664B7D">
        <w:t>rozliczających poniesione wydatki,</w:t>
      </w:r>
    </w:p>
    <w:p w14:paraId="3938BBF1" w14:textId="45544EA1" w:rsidR="007F454D" w:rsidRPr="00664B7D" w:rsidRDefault="007A7DB6" w:rsidP="00F15960">
      <w:pPr>
        <w:pStyle w:val="TreNum-K"/>
        <w:numPr>
          <w:ilvl w:val="0"/>
          <w:numId w:val="56"/>
        </w:numPr>
        <w:ind w:left="851" w:hanging="425"/>
      </w:pPr>
      <w:r w:rsidRPr="00664B7D">
        <w:t>stopnia osiągniętego wskaźnika produktu lub rezultatu w przypadku</w:t>
      </w:r>
      <w:r w:rsidR="007F454D" w:rsidRPr="00664B7D">
        <w:t xml:space="preserve"> </w:t>
      </w:r>
      <w:r w:rsidRPr="00664B7D">
        <w:t>rozliczenia ryczałtowego będącego podstawą do dokonania kolejnej</w:t>
      </w:r>
      <w:r w:rsidR="007F454D" w:rsidRPr="00664B7D">
        <w:t xml:space="preserve"> </w:t>
      </w:r>
      <w:r w:rsidRPr="00664B7D">
        <w:t>płatności,</w:t>
      </w:r>
    </w:p>
    <w:p w14:paraId="72360960" w14:textId="6261ED43" w:rsidR="007F454D" w:rsidRPr="00664B7D" w:rsidRDefault="007A7DB6" w:rsidP="00F15960">
      <w:pPr>
        <w:pStyle w:val="TreNum-K"/>
        <w:numPr>
          <w:ilvl w:val="0"/>
          <w:numId w:val="56"/>
        </w:numPr>
        <w:ind w:left="851" w:hanging="425"/>
      </w:pPr>
      <w:r w:rsidRPr="00664B7D">
        <w:t>rozliczenia części lub całości grantu i ewentualnie dokumentów</w:t>
      </w:r>
      <w:r w:rsidR="007F454D" w:rsidRPr="00664B7D">
        <w:t xml:space="preserve"> r</w:t>
      </w:r>
      <w:r w:rsidRPr="00664B7D">
        <w:t>ozliczających poniesione wydatki,</w:t>
      </w:r>
    </w:p>
    <w:p w14:paraId="3FD16AD4" w14:textId="0BF755B2" w:rsidR="007A7DB6" w:rsidRPr="00664B7D" w:rsidRDefault="007A7DB6" w:rsidP="00F15960">
      <w:pPr>
        <w:pStyle w:val="TreNum-K"/>
        <w:numPr>
          <w:ilvl w:val="0"/>
          <w:numId w:val="56"/>
        </w:numPr>
        <w:ind w:left="851" w:hanging="425"/>
      </w:pPr>
      <w:r w:rsidRPr="00664B7D">
        <w:t>numer rachunku bankowego, na który grant będzie przekazywany,</w:t>
      </w:r>
    </w:p>
    <w:p w14:paraId="6D8B5A73" w14:textId="6E586B6F" w:rsidR="006813DA" w:rsidRPr="00664B7D" w:rsidRDefault="007A7DB6" w:rsidP="00F15960">
      <w:pPr>
        <w:pStyle w:val="TreNum-K"/>
        <w:numPr>
          <w:ilvl w:val="0"/>
          <w:numId w:val="56"/>
        </w:numPr>
        <w:ind w:left="851" w:hanging="425"/>
      </w:pPr>
      <w:r w:rsidRPr="00664B7D">
        <w:t>zabezpieczenia grantów:</w:t>
      </w:r>
      <w:r w:rsidR="00472F82" w:rsidRPr="00664B7D">
        <w:t xml:space="preserve"> </w:t>
      </w:r>
      <w:r w:rsidRPr="00664B7D">
        <w:t>zabezpieczenie prawidłowej realizacji umowy o powierzenie grantu, np.</w:t>
      </w:r>
      <w:r w:rsidR="006813DA" w:rsidRPr="00664B7D">
        <w:t xml:space="preserve"> </w:t>
      </w:r>
      <w:r w:rsidRPr="00664B7D">
        <w:t xml:space="preserve">weksel in blanco, przy czym w </w:t>
      </w:r>
      <w:r w:rsidR="00864967" w:rsidRPr="00664B7D">
        <w:t>Regulaminie</w:t>
      </w:r>
      <w:r w:rsidRPr="00664B7D">
        <w:t xml:space="preserve"> ubiegania się </w:t>
      </w:r>
      <w:r w:rsidR="00BD272D">
        <w:br/>
      </w:r>
      <w:r w:rsidRPr="00664B7D">
        <w:t>o grant należy</w:t>
      </w:r>
      <w:r w:rsidR="006813DA" w:rsidRPr="00664B7D">
        <w:t xml:space="preserve"> </w:t>
      </w:r>
      <w:r w:rsidRPr="00664B7D">
        <w:t>określić termin jego zwrotu;</w:t>
      </w:r>
    </w:p>
    <w:p w14:paraId="78C76173" w14:textId="672906D0" w:rsidR="006813DA" w:rsidRPr="00664B7D" w:rsidRDefault="00B661AF" w:rsidP="00F15960">
      <w:pPr>
        <w:pStyle w:val="TreNum-K"/>
        <w:numPr>
          <w:ilvl w:val="0"/>
          <w:numId w:val="45"/>
        </w:numPr>
        <w:ind w:left="426" w:hanging="426"/>
      </w:pPr>
      <w:r>
        <w:t xml:space="preserve"> </w:t>
      </w:r>
      <w:r w:rsidR="004D49ED" w:rsidRPr="00664B7D">
        <w:t>zapisy, które zapewnią B</w:t>
      </w:r>
      <w:r w:rsidR="007A7DB6" w:rsidRPr="00664B7D">
        <w:t>eneficjentowi przekazywanie przez</w:t>
      </w:r>
      <w:r w:rsidR="006813DA" w:rsidRPr="00664B7D">
        <w:t xml:space="preserve"> </w:t>
      </w:r>
      <w:proofErr w:type="spellStart"/>
      <w:r w:rsidR="00EE6487" w:rsidRPr="00664B7D">
        <w:t>G</w:t>
      </w:r>
      <w:r w:rsidR="007A7DB6" w:rsidRPr="00664B7D">
        <w:t>r</w:t>
      </w:r>
      <w:r w:rsidR="004D49ED" w:rsidRPr="00664B7D">
        <w:t>antobiorców</w:t>
      </w:r>
      <w:proofErr w:type="spellEnd"/>
      <w:r w:rsidR="004D49ED" w:rsidRPr="00664B7D">
        <w:t xml:space="preserve"> danych niezbędnych B</w:t>
      </w:r>
      <w:r w:rsidR="007A7DB6" w:rsidRPr="00664B7D">
        <w:t>eneficjentowi do rozliczenia grantu</w:t>
      </w:r>
      <w:r w:rsidR="006813DA" w:rsidRPr="00664B7D">
        <w:t xml:space="preserve"> </w:t>
      </w:r>
      <w:r w:rsidR="007A7DB6" w:rsidRPr="00664B7D">
        <w:t xml:space="preserve">oraz właściwego wywiązywania się </w:t>
      </w:r>
      <w:r w:rsidR="00BD272D">
        <w:br/>
      </w:r>
      <w:r w:rsidR="007A7DB6" w:rsidRPr="00664B7D">
        <w:t>z obowiązków wynikających z</w:t>
      </w:r>
      <w:r w:rsidR="006813DA" w:rsidRPr="00664B7D">
        <w:t xml:space="preserve"> </w:t>
      </w:r>
      <w:r w:rsidR="007A7DB6" w:rsidRPr="00664B7D">
        <w:t>umowy o dofinansowanie projektu grantowego.</w:t>
      </w:r>
    </w:p>
    <w:p w14:paraId="12E3600F" w14:textId="065F0292" w:rsidR="007A7DB6" w:rsidRPr="00664B7D" w:rsidRDefault="007A7DB6" w:rsidP="00F15960">
      <w:pPr>
        <w:pStyle w:val="TreNum-K"/>
        <w:numPr>
          <w:ilvl w:val="0"/>
          <w:numId w:val="45"/>
        </w:numPr>
        <w:ind w:left="426" w:hanging="426"/>
      </w:pPr>
      <w:r w:rsidRPr="00664B7D">
        <w:t>zasady rozliczania grantu w sytuacji, gdy w trakcie realizacji umowy o</w:t>
      </w:r>
      <w:r w:rsidR="006813DA" w:rsidRPr="00664B7D">
        <w:t xml:space="preserve"> </w:t>
      </w:r>
      <w:r w:rsidR="00EE6487" w:rsidRPr="00664B7D">
        <w:t xml:space="preserve">powierzenie grantu nie uda się </w:t>
      </w:r>
      <w:proofErr w:type="spellStart"/>
      <w:r w:rsidR="00EE6487" w:rsidRPr="00664B7D">
        <w:t>G</w:t>
      </w:r>
      <w:r w:rsidRPr="00664B7D">
        <w:t>rantobiorcy</w:t>
      </w:r>
      <w:proofErr w:type="spellEnd"/>
      <w:r w:rsidRPr="00664B7D">
        <w:t xml:space="preserve"> osiągnąć rezultatów;</w:t>
      </w:r>
    </w:p>
    <w:p w14:paraId="7D49393A" w14:textId="317F938D" w:rsidR="007A7DB6" w:rsidRPr="00664B7D" w:rsidRDefault="007A7DB6" w:rsidP="00F15960">
      <w:pPr>
        <w:pStyle w:val="TreNum-K"/>
        <w:numPr>
          <w:ilvl w:val="0"/>
          <w:numId w:val="47"/>
        </w:numPr>
        <w:ind w:left="426" w:hanging="426"/>
      </w:pPr>
      <w:r w:rsidRPr="00664B7D">
        <w:t>zobowiązanie do zwrotu grantu w przypadku wykorzystania go niezgodnie z</w:t>
      </w:r>
      <w:r w:rsidR="006813DA" w:rsidRPr="00664B7D">
        <w:t xml:space="preserve"> </w:t>
      </w:r>
      <w:r w:rsidRPr="00664B7D">
        <w:t>celami projektu grantowego:</w:t>
      </w:r>
    </w:p>
    <w:p w14:paraId="7D25655F" w14:textId="58D6640D" w:rsidR="007A7DB6" w:rsidRPr="00664B7D" w:rsidRDefault="005D784B" w:rsidP="00BD272D">
      <w:pPr>
        <w:pStyle w:val="TreNum-K"/>
        <w:ind w:left="426" w:hanging="284"/>
      </w:pPr>
      <w:r w:rsidRPr="00664B7D">
        <w:t>-</w:t>
      </w:r>
      <w:r w:rsidRPr="00664B7D">
        <w:tab/>
      </w:r>
      <w:r w:rsidR="007A7DB6" w:rsidRPr="00664B7D">
        <w:t>określeni</w:t>
      </w:r>
      <w:r w:rsidR="00EE6487" w:rsidRPr="00664B7D">
        <w:t xml:space="preserve">e warunków zwrotu grantu przez </w:t>
      </w:r>
      <w:proofErr w:type="spellStart"/>
      <w:r w:rsidR="00EE6487" w:rsidRPr="00664B7D">
        <w:t>G</w:t>
      </w:r>
      <w:r w:rsidR="007A7DB6" w:rsidRPr="00664B7D">
        <w:t>rantobiorcę</w:t>
      </w:r>
      <w:proofErr w:type="spellEnd"/>
      <w:r w:rsidR="007A7DB6" w:rsidRPr="00664B7D">
        <w:t>;</w:t>
      </w:r>
    </w:p>
    <w:p w14:paraId="07A5874B" w14:textId="04F4C7DD" w:rsidR="006813DA" w:rsidRPr="00664B7D" w:rsidRDefault="005D784B" w:rsidP="00BD272D">
      <w:pPr>
        <w:pStyle w:val="TreNum-K"/>
        <w:ind w:left="426" w:hanging="284"/>
      </w:pPr>
      <w:r w:rsidRPr="00664B7D">
        <w:t>-</w:t>
      </w:r>
      <w:r w:rsidRPr="00664B7D">
        <w:tab/>
      </w:r>
      <w:r w:rsidR="007A7DB6" w:rsidRPr="00664B7D">
        <w:t>termin na dokonanie zwrotu grantu oraz numer rachunku bankowego, na</w:t>
      </w:r>
      <w:r w:rsidR="006813DA" w:rsidRPr="00664B7D">
        <w:t xml:space="preserve"> </w:t>
      </w:r>
      <w:r w:rsidR="007A7DB6" w:rsidRPr="00664B7D">
        <w:t>który należy dokonać zwrotu; w umowie o powierzenie grantu należy</w:t>
      </w:r>
      <w:r w:rsidR="006813DA" w:rsidRPr="00664B7D">
        <w:t xml:space="preserve"> </w:t>
      </w:r>
      <w:r w:rsidR="007A7DB6" w:rsidRPr="00664B7D">
        <w:t>zapisać konieczność zwrotu niewydatkowanej części grantu w przypadku</w:t>
      </w:r>
      <w:r w:rsidR="006813DA" w:rsidRPr="00664B7D">
        <w:t xml:space="preserve"> </w:t>
      </w:r>
      <w:r w:rsidR="007A7DB6" w:rsidRPr="00664B7D">
        <w:t>niezrealizowania danego etapu / działania;</w:t>
      </w:r>
    </w:p>
    <w:p w14:paraId="775E724F" w14:textId="4C7909B8" w:rsidR="006813DA" w:rsidRPr="00664B7D" w:rsidRDefault="007A7DB6" w:rsidP="00F15960">
      <w:pPr>
        <w:pStyle w:val="TreNum-K"/>
        <w:numPr>
          <w:ilvl w:val="0"/>
          <w:numId w:val="47"/>
        </w:numPr>
        <w:ind w:left="426" w:hanging="426"/>
      </w:pPr>
      <w:r w:rsidRPr="00664B7D">
        <w:t>zobowiązanie do poddania się kontrolom lub audytom prowadzanym przez</w:t>
      </w:r>
      <w:r w:rsidR="006813DA" w:rsidRPr="00664B7D">
        <w:t xml:space="preserve"> </w:t>
      </w:r>
      <w:r w:rsidR="00EF753F" w:rsidRPr="00664B7D">
        <w:t>B</w:t>
      </w:r>
      <w:r w:rsidRPr="00664B7D">
        <w:t>eneficjenta lub inne uprawnione podmioty (wskazane w</w:t>
      </w:r>
      <w:r w:rsidR="006813DA" w:rsidRPr="00664B7D">
        <w:t xml:space="preserve"> </w:t>
      </w:r>
      <w:r w:rsidRPr="00664B7D">
        <w:t xml:space="preserve">art. 25 ust. 1 i 2 ustawy wdrożeniowej). Oznacza to, że </w:t>
      </w:r>
      <w:r w:rsidR="00EF753F" w:rsidRPr="00664B7D">
        <w:t>B</w:t>
      </w:r>
      <w:r w:rsidRPr="00664B7D">
        <w:t>eneficjent</w:t>
      </w:r>
      <w:r w:rsidR="006813DA" w:rsidRPr="00664B7D">
        <w:t xml:space="preserve"> </w:t>
      </w:r>
      <w:r w:rsidRPr="00664B7D">
        <w:t>zobowiązany jest do określenia w umowie o powierzenie grantu zasad jego</w:t>
      </w:r>
      <w:r w:rsidR="006813DA" w:rsidRPr="00664B7D">
        <w:t xml:space="preserve"> </w:t>
      </w:r>
      <w:r w:rsidRPr="00664B7D">
        <w:t>monitorowania i kontroli:</w:t>
      </w:r>
    </w:p>
    <w:p w14:paraId="355A04DA" w14:textId="38D95527" w:rsidR="006813DA" w:rsidRPr="00664B7D" w:rsidRDefault="005D784B" w:rsidP="00BD272D">
      <w:pPr>
        <w:pStyle w:val="TreNum-K"/>
        <w:ind w:left="426" w:hanging="284"/>
      </w:pPr>
      <w:r w:rsidRPr="00664B7D">
        <w:t>-</w:t>
      </w:r>
      <w:r w:rsidRPr="00664B7D">
        <w:tab/>
      </w:r>
      <w:r w:rsidR="007A7DB6" w:rsidRPr="00664B7D">
        <w:t>określenie me</w:t>
      </w:r>
      <w:r w:rsidR="004D49ED" w:rsidRPr="00664B7D">
        <w:t>tod monitorowania grantu przez B</w:t>
      </w:r>
      <w:r w:rsidR="007A7DB6" w:rsidRPr="00664B7D">
        <w:t>eneficjenta; powinny być</w:t>
      </w:r>
      <w:r w:rsidR="006813DA" w:rsidRPr="00664B7D">
        <w:t xml:space="preserve"> </w:t>
      </w:r>
      <w:r w:rsidR="007A7DB6" w:rsidRPr="00664B7D">
        <w:t>one adekwatn</w:t>
      </w:r>
      <w:r w:rsidR="00EE6487" w:rsidRPr="00664B7D">
        <w:t xml:space="preserve">e do zadań wykonywanych przez </w:t>
      </w:r>
      <w:proofErr w:type="spellStart"/>
      <w:r w:rsidR="00EE6487" w:rsidRPr="00664B7D">
        <w:t>Gr</w:t>
      </w:r>
      <w:r w:rsidR="007A7DB6" w:rsidRPr="00664B7D">
        <w:t>antobiorcę</w:t>
      </w:r>
      <w:proofErr w:type="spellEnd"/>
      <w:r w:rsidR="007A7DB6" w:rsidRPr="00664B7D">
        <w:t xml:space="preserve"> (niezasadne</w:t>
      </w:r>
      <w:r w:rsidR="006813DA" w:rsidRPr="00664B7D">
        <w:t xml:space="preserve"> </w:t>
      </w:r>
      <w:r w:rsidR="007A7DB6" w:rsidRPr="00664B7D">
        <w:t xml:space="preserve">np. może okazać się </w:t>
      </w:r>
      <w:r w:rsidR="007A7DB6" w:rsidRPr="00664B7D">
        <w:lastRenderedPageBreak/>
        <w:t>przeprowadzanie kontroli w miejscu realizacji</w:t>
      </w:r>
      <w:r w:rsidR="006813DA" w:rsidRPr="00664B7D">
        <w:t xml:space="preserve"> </w:t>
      </w:r>
      <w:r w:rsidR="007A7DB6" w:rsidRPr="00664B7D">
        <w:t>przedsięwzięcia, gdy rezultatem grantu ma być opracowanie produktu w</w:t>
      </w:r>
      <w:r w:rsidR="006813DA" w:rsidRPr="00664B7D">
        <w:t xml:space="preserve"> </w:t>
      </w:r>
      <w:r w:rsidR="007A7DB6" w:rsidRPr="00664B7D">
        <w:t>postaci dokumentacji);</w:t>
      </w:r>
    </w:p>
    <w:p w14:paraId="1C6DFA7C" w14:textId="34E78FE2" w:rsidR="006813DA" w:rsidRPr="00664B7D" w:rsidRDefault="005D784B" w:rsidP="00BD272D">
      <w:pPr>
        <w:pStyle w:val="TreNum-K"/>
        <w:ind w:left="426" w:hanging="284"/>
      </w:pPr>
      <w:r w:rsidRPr="00664B7D">
        <w:t>-</w:t>
      </w:r>
      <w:r w:rsidRPr="00664B7D">
        <w:tab/>
      </w:r>
      <w:r w:rsidR="007A7DB6" w:rsidRPr="00664B7D">
        <w:t>w przypa</w:t>
      </w:r>
      <w:r w:rsidR="00EE6487" w:rsidRPr="00664B7D">
        <w:t xml:space="preserve">dku przeprowadzania kontroli u </w:t>
      </w:r>
      <w:proofErr w:type="spellStart"/>
      <w:r w:rsidR="00EE6487" w:rsidRPr="00664B7D">
        <w:t>G</w:t>
      </w:r>
      <w:r w:rsidR="007A7DB6" w:rsidRPr="00664B7D">
        <w:t>rantobiorców</w:t>
      </w:r>
      <w:proofErr w:type="spellEnd"/>
      <w:r w:rsidR="007A7DB6" w:rsidRPr="00664B7D">
        <w:t>/kontroli w miejscu</w:t>
      </w:r>
      <w:r w:rsidR="006813DA" w:rsidRPr="00664B7D">
        <w:t xml:space="preserve"> </w:t>
      </w:r>
      <w:r w:rsidR="007A7DB6" w:rsidRPr="00664B7D">
        <w:t>rea</w:t>
      </w:r>
      <w:r w:rsidR="004D49ED" w:rsidRPr="00664B7D">
        <w:t>lizacji przedsięwzięcia, o ile B</w:t>
      </w:r>
      <w:r w:rsidR="007A7DB6" w:rsidRPr="00664B7D">
        <w:t>eneficjent nie przewiduje kontroli 100%</w:t>
      </w:r>
      <w:r w:rsidR="006813DA" w:rsidRPr="00664B7D">
        <w:t xml:space="preserve"> </w:t>
      </w:r>
      <w:r w:rsidR="007A7DB6" w:rsidRPr="00664B7D">
        <w:t>grantów, należy wskazać, że będą one prowadzone planowo na próbie</w:t>
      </w:r>
      <w:r w:rsidR="006813DA" w:rsidRPr="00664B7D">
        <w:t xml:space="preserve"> </w:t>
      </w:r>
      <w:r w:rsidR="007A7DB6" w:rsidRPr="00664B7D">
        <w:t>grantów oraz doraźn</w:t>
      </w:r>
      <w:r w:rsidR="004D49ED" w:rsidRPr="00664B7D">
        <w:t xml:space="preserve">ie, np. </w:t>
      </w:r>
      <w:r w:rsidR="004A35D0">
        <w:br/>
      </w:r>
      <w:r w:rsidR="004D49ED" w:rsidRPr="00664B7D">
        <w:t>w sytuacji wątpliwości B</w:t>
      </w:r>
      <w:r w:rsidR="007A7DB6" w:rsidRPr="00664B7D">
        <w:t>eneficjenta co do</w:t>
      </w:r>
      <w:r w:rsidR="006813DA" w:rsidRPr="00664B7D">
        <w:t xml:space="preserve"> </w:t>
      </w:r>
      <w:r w:rsidR="007A7DB6" w:rsidRPr="00664B7D">
        <w:t>prawidłowości realizacji grantu lub przedstawionego rozliczenia grantu, a</w:t>
      </w:r>
      <w:r w:rsidR="006813DA" w:rsidRPr="00664B7D">
        <w:t xml:space="preserve"> </w:t>
      </w:r>
      <w:r w:rsidR="007A7DB6" w:rsidRPr="00664B7D">
        <w:t>także opisać sposób przeprowadzenia kontroli, ich przedmiot, tryb</w:t>
      </w:r>
      <w:r w:rsidR="006813DA" w:rsidRPr="00664B7D">
        <w:t xml:space="preserve"> </w:t>
      </w:r>
      <w:r w:rsidR="007A7DB6" w:rsidRPr="00664B7D">
        <w:t>informowania o nich, itp.;</w:t>
      </w:r>
    </w:p>
    <w:p w14:paraId="5AAFC38C" w14:textId="3287B402" w:rsidR="006813DA" w:rsidRPr="00664B7D" w:rsidRDefault="005D784B" w:rsidP="00502B08">
      <w:pPr>
        <w:pStyle w:val="TreNum-K"/>
        <w:ind w:left="426" w:hanging="284"/>
      </w:pPr>
      <w:r w:rsidRPr="00664B7D">
        <w:t>-</w:t>
      </w:r>
      <w:r w:rsidRPr="00664B7D">
        <w:tab/>
      </w:r>
      <w:r w:rsidR="004D49ED" w:rsidRPr="00664B7D">
        <w:t>o ile B</w:t>
      </w:r>
      <w:r w:rsidR="00EE6487" w:rsidRPr="00664B7D">
        <w:t xml:space="preserve">eneficjent nie pozyskuje od </w:t>
      </w:r>
      <w:proofErr w:type="spellStart"/>
      <w:r w:rsidR="00EE6487" w:rsidRPr="00664B7D">
        <w:t>G</w:t>
      </w:r>
      <w:r w:rsidR="007A7DB6" w:rsidRPr="00664B7D">
        <w:t>rantobiorców</w:t>
      </w:r>
      <w:proofErr w:type="spellEnd"/>
      <w:r w:rsidR="007A7DB6" w:rsidRPr="00664B7D">
        <w:t xml:space="preserve"> całości dokumentacji</w:t>
      </w:r>
      <w:r w:rsidR="006813DA" w:rsidRPr="00664B7D">
        <w:t xml:space="preserve"> </w:t>
      </w:r>
      <w:r w:rsidR="00EE6487" w:rsidRPr="00664B7D">
        <w:t xml:space="preserve">dotyczącej grantu, </w:t>
      </w:r>
      <w:proofErr w:type="spellStart"/>
      <w:r w:rsidR="00EE6487" w:rsidRPr="00664B7D">
        <w:t>G</w:t>
      </w:r>
      <w:r w:rsidR="007A7DB6" w:rsidRPr="00664B7D">
        <w:t>rantobiorca</w:t>
      </w:r>
      <w:proofErr w:type="spellEnd"/>
      <w:r w:rsidR="007A7DB6" w:rsidRPr="00664B7D">
        <w:t xml:space="preserve"> powinien być zobligowany do</w:t>
      </w:r>
      <w:r w:rsidR="006813DA" w:rsidRPr="00664B7D">
        <w:t xml:space="preserve"> </w:t>
      </w:r>
      <w:r w:rsidR="007A7DB6" w:rsidRPr="00664B7D">
        <w:t xml:space="preserve">przechowywania dokumentów związanych </w:t>
      </w:r>
      <w:r w:rsidR="004A35D0">
        <w:br/>
      </w:r>
      <w:r w:rsidR="007A7DB6" w:rsidRPr="00664B7D">
        <w:t>z realizacją grantu przez okres</w:t>
      </w:r>
      <w:r w:rsidR="006813DA" w:rsidRPr="00664B7D">
        <w:t xml:space="preserve"> </w:t>
      </w:r>
      <w:r w:rsidR="007A7DB6" w:rsidRPr="00664B7D">
        <w:t>wskazany w umowie o dofinansowanie projektu.</w:t>
      </w:r>
    </w:p>
    <w:p w14:paraId="79308C33" w14:textId="77777777" w:rsidR="006813DA" w:rsidRPr="00664B7D" w:rsidRDefault="007A7DB6" w:rsidP="004A35D0">
      <w:pPr>
        <w:pStyle w:val="TreNum-K"/>
        <w:ind w:left="284"/>
        <w:rPr>
          <w:u w:val="single"/>
        </w:rPr>
      </w:pPr>
      <w:r w:rsidRPr="00664B7D">
        <w:rPr>
          <w:u w:val="single"/>
        </w:rPr>
        <w:t>Ponadto w umowie o powierzenie grantu powinny znaleźć się zapisy regulujące:</w:t>
      </w:r>
    </w:p>
    <w:p w14:paraId="58D28D69" w14:textId="1B118194" w:rsidR="006813DA" w:rsidRPr="00664B7D" w:rsidRDefault="00EE6487" w:rsidP="00F15960">
      <w:pPr>
        <w:pStyle w:val="TreNum-K"/>
        <w:numPr>
          <w:ilvl w:val="0"/>
          <w:numId w:val="47"/>
        </w:numPr>
        <w:ind w:left="426" w:hanging="426"/>
      </w:pPr>
      <w:r w:rsidRPr="00664B7D">
        <w:t>kwestię przekazywania przez G</w:t>
      </w:r>
      <w:r w:rsidR="007A7DB6" w:rsidRPr="00664B7D">
        <w:t>rantobiorców wszystkich danych, którymi</w:t>
      </w:r>
      <w:r w:rsidR="006813DA" w:rsidRPr="00664B7D">
        <w:t xml:space="preserve"> </w:t>
      </w:r>
      <w:r w:rsidR="004D49ED" w:rsidRPr="00664B7D">
        <w:t>B</w:t>
      </w:r>
      <w:r w:rsidR="007A7DB6" w:rsidRPr="00664B7D">
        <w:t>eneficjent musi dysponować, aby właściwie wywiązać się z obowiązków</w:t>
      </w:r>
      <w:r w:rsidR="006813DA" w:rsidRPr="00664B7D">
        <w:t xml:space="preserve"> </w:t>
      </w:r>
      <w:r w:rsidR="007A7DB6" w:rsidRPr="00664B7D">
        <w:t xml:space="preserve">wynikających z umowy </w:t>
      </w:r>
      <w:r w:rsidR="004A35D0">
        <w:br/>
      </w:r>
      <w:r w:rsidR="007A7DB6" w:rsidRPr="00664B7D">
        <w:t>o dofin</w:t>
      </w:r>
      <w:r w:rsidR="00472F82" w:rsidRPr="00664B7D">
        <w:t>ansowanie projektu grantowego;</w:t>
      </w:r>
      <w:r w:rsidR="007A7DB6" w:rsidRPr="00664B7D">
        <w:t xml:space="preserve"> W</w:t>
      </w:r>
      <w:r w:rsidR="006813DA" w:rsidRPr="00664B7D">
        <w:t xml:space="preserve"> </w:t>
      </w:r>
      <w:r w:rsidR="004D49ED" w:rsidRPr="00664B7D">
        <w:t>szczególności B</w:t>
      </w:r>
      <w:r w:rsidR="007A7DB6" w:rsidRPr="00664B7D">
        <w:t>eneficjent powinien zobow</w:t>
      </w:r>
      <w:r w:rsidRPr="00664B7D">
        <w:t>iązać G</w:t>
      </w:r>
      <w:r w:rsidR="007A7DB6" w:rsidRPr="00664B7D">
        <w:t>rantobiorców do</w:t>
      </w:r>
      <w:r w:rsidR="006813DA" w:rsidRPr="00664B7D">
        <w:t xml:space="preserve"> </w:t>
      </w:r>
      <w:r w:rsidR="007A7DB6" w:rsidRPr="00664B7D">
        <w:t>przekazywania danych na potrzeby realizacji wskaźnik</w:t>
      </w:r>
      <w:r w:rsidR="00EF753F" w:rsidRPr="00664B7D">
        <w:t>ów;</w:t>
      </w:r>
    </w:p>
    <w:p w14:paraId="59BDC5E3" w14:textId="39E3F76F" w:rsidR="006813DA" w:rsidRPr="00664B7D" w:rsidRDefault="007A7DB6" w:rsidP="00F15960">
      <w:pPr>
        <w:pStyle w:val="TreNum-K"/>
        <w:numPr>
          <w:ilvl w:val="0"/>
          <w:numId w:val="47"/>
        </w:numPr>
        <w:ind w:left="426" w:hanging="426"/>
      </w:pPr>
      <w:r w:rsidRPr="00664B7D">
        <w:t>warunki zmiany umowy:</w:t>
      </w:r>
    </w:p>
    <w:p w14:paraId="3F924D0E" w14:textId="77777777" w:rsidR="006813DA" w:rsidRPr="00664B7D" w:rsidRDefault="007A7DB6" w:rsidP="00F15960">
      <w:pPr>
        <w:pStyle w:val="TreNum-K"/>
        <w:numPr>
          <w:ilvl w:val="0"/>
          <w:numId w:val="47"/>
        </w:numPr>
        <w:ind w:left="426" w:hanging="426"/>
      </w:pPr>
      <w:r w:rsidRPr="00664B7D">
        <w:t>określenie rodzaju zmian możliwych do wprowadzenia do umowy o</w:t>
      </w:r>
      <w:r w:rsidR="006813DA" w:rsidRPr="00664B7D">
        <w:t xml:space="preserve"> </w:t>
      </w:r>
      <w:r w:rsidRPr="00664B7D">
        <w:t>powierzenie grantu oraz jej załączników,</w:t>
      </w:r>
    </w:p>
    <w:p w14:paraId="5FCB47C4" w14:textId="09A4BDDF" w:rsidR="006813DA" w:rsidRPr="00664B7D" w:rsidRDefault="007A7DB6" w:rsidP="00F15960">
      <w:pPr>
        <w:pStyle w:val="TreNum-K"/>
        <w:numPr>
          <w:ilvl w:val="0"/>
          <w:numId w:val="47"/>
        </w:numPr>
        <w:ind w:left="426" w:hanging="426"/>
      </w:pPr>
      <w:r w:rsidRPr="00664B7D">
        <w:t>czy i jakie zmiany w</w:t>
      </w:r>
      <w:r w:rsidR="005E53C8" w:rsidRPr="00664B7D">
        <w:t xml:space="preserve"> zakresie wykorzystania grantu </w:t>
      </w:r>
      <w:proofErr w:type="spellStart"/>
      <w:r w:rsidR="005E53C8" w:rsidRPr="00664B7D">
        <w:t>G</w:t>
      </w:r>
      <w:r w:rsidRPr="00664B7D">
        <w:t>rantobiorca</w:t>
      </w:r>
      <w:proofErr w:type="spellEnd"/>
      <w:r w:rsidRPr="00664B7D">
        <w:t xml:space="preserve"> może</w:t>
      </w:r>
      <w:r w:rsidR="006813DA" w:rsidRPr="00664B7D">
        <w:t xml:space="preserve"> </w:t>
      </w:r>
      <w:r w:rsidRPr="00664B7D">
        <w:t>wpro</w:t>
      </w:r>
      <w:r w:rsidR="00EE6487" w:rsidRPr="00664B7D">
        <w:t xml:space="preserve">wadzić samodzielnie (bez zgody </w:t>
      </w:r>
      <w:proofErr w:type="spellStart"/>
      <w:r w:rsidR="00EE6487" w:rsidRPr="00664B7D">
        <w:t>G</w:t>
      </w:r>
      <w:r w:rsidRPr="00664B7D">
        <w:t>rantodawcy</w:t>
      </w:r>
      <w:proofErr w:type="spellEnd"/>
      <w:r w:rsidRPr="00664B7D">
        <w:t>), a jakie wymagają</w:t>
      </w:r>
      <w:r w:rsidR="006813DA" w:rsidRPr="00664B7D">
        <w:t xml:space="preserve"> </w:t>
      </w:r>
      <w:r w:rsidR="00EE6487" w:rsidRPr="00664B7D">
        <w:t>ustale</w:t>
      </w:r>
      <w:r w:rsidR="00C000E5" w:rsidRPr="00664B7D">
        <w:t xml:space="preserve">nia z </w:t>
      </w:r>
      <w:proofErr w:type="spellStart"/>
      <w:r w:rsidR="00EE6487" w:rsidRPr="00664B7D">
        <w:t>G</w:t>
      </w:r>
      <w:r w:rsidR="00C000E5" w:rsidRPr="00664B7D">
        <w:t>r</w:t>
      </w:r>
      <w:r w:rsidRPr="00664B7D">
        <w:t>antodawcą</w:t>
      </w:r>
      <w:proofErr w:type="spellEnd"/>
      <w:r w:rsidRPr="00664B7D">
        <w:t xml:space="preserve"> </w:t>
      </w:r>
      <w:r w:rsidR="004A35D0">
        <w:br/>
      </w:r>
      <w:r w:rsidRPr="00664B7D">
        <w:t>i zawarcia aneksu do umowy o powierzenie grantu</w:t>
      </w:r>
      <w:r w:rsidR="006813DA" w:rsidRPr="00664B7D">
        <w:t xml:space="preserve"> </w:t>
      </w:r>
      <w:r w:rsidRPr="00664B7D">
        <w:t>oraz, w ja</w:t>
      </w:r>
      <w:r w:rsidR="00EE6487" w:rsidRPr="00664B7D">
        <w:t xml:space="preserve">kich terminach i w jaki sposób </w:t>
      </w:r>
      <w:proofErr w:type="spellStart"/>
      <w:r w:rsidR="00EE6487" w:rsidRPr="00664B7D">
        <w:t>G</w:t>
      </w:r>
      <w:r w:rsidRPr="00664B7D">
        <w:t>rantobiorca</w:t>
      </w:r>
      <w:proofErr w:type="spellEnd"/>
      <w:r w:rsidRPr="00664B7D">
        <w:t xml:space="preserve"> powinien wnioskować</w:t>
      </w:r>
      <w:r w:rsidR="006813DA" w:rsidRPr="00664B7D">
        <w:t xml:space="preserve"> </w:t>
      </w:r>
      <w:r w:rsidRPr="00664B7D">
        <w:t>o wprowadzenie zmian,</w:t>
      </w:r>
    </w:p>
    <w:p w14:paraId="5B90919E" w14:textId="1014C2D8" w:rsidR="006813DA" w:rsidRPr="00664B7D" w:rsidRDefault="007A7DB6" w:rsidP="00F15960">
      <w:pPr>
        <w:pStyle w:val="TreNum-K"/>
        <w:numPr>
          <w:ilvl w:val="0"/>
          <w:numId w:val="47"/>
        </w:numPr>
        <w:ind w:left="426" w:hanging="426"/>
      </w:pPr>
      <w:r w:rsidRPr="00664B7D">
        <w:t>możliwość zwiększenia lub zmniejszenia wysokości grantu w trakcie</w:t>
      </w:r>
      <w:r w:rsidR="006813DA" w:rsidRPr="00664B7D">
        <w:t xml:space="preserve"> </w:t>
      </w:r>
      <w:r w:rsidRPr="00664B7D">
        <w:t>realizac</w:t>
      </w:r>
      <w:r w:rsidR="00472F82" w:rsidRPr="00664B7D">
        <w:t xml:space="preserve">ji umowy </w:t>
      </w:r>
      <w:r w:rsidR="004A35D0">
        <w:br/>
      </w:r>
      <w:r w:rsidR="00472F82" w:rsidRPr="00664B7D">
        <w:t xml:space="preserve">o powierzenie grantu; </w:t>
      </w:r>
      <w:r w:rsidRPr="00664B7D">
        <w:t>Zaleca się sformułowanie</w:t>
      </w:r>
      <w:r w:rsidR="006813DA" w:rsidRPr="00664B7D">
        <w:t xml:space="preserve"> </w:t>
      </w:r>
      <w:r w:rsidRPr="00664B7D">
        <w:t>zapisów w tym zakresie możliwie elastycznie, z uwzględnieniem specyfiki</w:t>
      </w:r>
      <w:r w:rsidR="006813DA" w:rsidRPr="00664B7D">
        <w:t xml:space="preserve"> </w:t>
      </w:r>
      <w:r w:rsidRPr="00664B7D">
        <w:t>projektu grantowego,</w:t>
      </w:r>
    </w:p>
    <w:p w14:paraId="422FAF64" w14:textId="6DC20D4F" w:rsidR="006813DA" w:rsidRDefault="007A7DB6" w:rsidP="00F15960">
      <w:pPr>
        <w:pStyle w:val="TreNum-K"/>
        <w:numPr>
          <w:ilvl w:val="0"/>
          <w:numId w:val="47"/>
        </w:numPr>
        <w:ind w:left="426" w:hanging="426"/>
      </w:pPr>
      <w:r w:rsidRPr="00664B7D">
        <w:t>zasady kwalifikowalności grantu – w projektach grantowych wydatek</w:t>
      </w:r>
      <w:r w:rsidR="006813DA" w:rsidRPr="00664B7D">
        <w:t xml:space="preserve"> </w:t>
      </w:r>
      <w:r w:rsidRPr="00664B7D">
        <w:t>kwalifikowalny stanowią granty i inne wydatki, o ile jest to zgodne z celami</w:t>
      </w:r>
      <w:r w:rsidR="006813DA" w:rsidRPr="00664B7D">
        <w:t xml:space="preserve"> </w:t>
      </w:r>
      <w:r w:rsidR="00B661AF">
        <w:t>projektu,</w:t>
      </w:r>
    </w:p>
    <w:p w14:paraId="488587BC" w14:textId="63B1809D" w:rsidR="00B661AF" w:rsidRDefault="00B661AF" w:rsidP="00F15960">
      <w:pPr>
        <w:pStyle w:val="TreNum-K"/>
        <w:numPr>
          <w:ilvl w:val="0"/>
          <w:numId w:val="47"/>
        </w:numPr>
        <w:ind w:left="426" w:hanging="426"/>
      </w:pPr>
      <w:r>
        <w:t>obowiązki informacyjno-promocyjne Grantobiorców,</w:t>
      </w:r>
    </w:p>
    <w:p w14:paraId="2B6C080C" w14:textId="3403EA91" w:rsidR="00B661AF" w:rsidRPr="00664B7D" w:rsidRDefault="00B661AF" w:rsidP="00F15960">
      <w:pPr>
        <w:pStyle w:val="TreNum-K"/>
        <w:numPr>
          <w:ilvl w:val="0"/>
          <w:numId w:val="47"/>
        </w:numPr>
        <w:ind w:left="426" w:hanging="426"/>
      </w:pPr>
      <w:r>
        <w:t xml:space="preserve">ochronę danych </w:t>
      </w:r>
      <w:proofErr w:type="spellStart"/>
      <w:r>
        <w:t>osobowch</w:t>
      </w:r>
      <w:proofErr w:type="spellEnd"/>
      <w:r>
        <w:t>,</w:t>
      </w:r>
    </w:p>
    <w:p w14:paraId="797EF3DE" w14:textId="1BDDFBB6" w:rsidR="00066BF8" w:rsidRPr="00664B7D" w:rsidRDefault="005E53C8" w:rsidP="00F15960">
      <w:pPr>
        <w:pStyle w:val="TreNum-K"/>
        <w:numPr>
          <w:ilvl w:val="0"/>
          <w:numId w:val="47"/>
        </w:numPr>
        <w:ind w:left="426" w:hanging="426"/>
      </w:pPr>
      <w:r w:rsidRPr="00664B7D">
        <w:t>przechowywanie przez G</w:t>
      </w:r>
      <w:r w:rsidR="007A7DB6" w:rsidRPr="00664B7D">
        <w:t>rantobiorców dokumentów źródłowych – ponieważ</w:t>
      </w:r>
      <w:r w:rsidR="006813DA" w:rsidRPr="00664B7D">
        <w:t xml:space="preserve"> </w:t>
      </w:r>
      <w:r w:rsidR="007A7DB6" w:rsidRPr="00664B7D">
        <w:t xml:space="preserve">będą one przedmiotem </w:t>
      </w:r>
      <w:r w:rsidR="004D49ED" w:rsidRPr="00664B7D">
        <w:t>kontroli przeprowadzanej przez B</w:t>
      </w:r>
      <w:r w:rsidR="007A7DB6" w:rsidRPr="00664B7D">
        <w:t>eneficjenta oraz</w:t>
      </w:r>
      <w:r w:rsidR="006813DA" w:rsidRPr="00664B7D">
        <w:t xml:space="preserve"> </w:t>
      </w:r>
      <w:r w:rsidR="007A7DB6" w:rsidRPr="00664B7D">
        <w:t>ewentualnie przez inne uprawnione do tego podmioty w okresie, w którym</w:t>
      </w:r>
      <w:r w:rsidR="006813DA" w:rsidRPr="00664B7D">
        <w:t xml:space="preserve"> </w:t>
      </w:r>
      <w:r w:rsidR="007A7DB6" w:rsidRPr="00664B7D">
        <w:t>projekt grantowy będzie mógł podlegać kontroli. Dlatego w umowie o</w:t>
      </w:r>
      <w:r w:rsidR="006813DA" w:rsidRPr="00664B7D">
        <w:t xml:space="preserve"> </w:t>
      </w:r>
      <w:r w:rsidR="007A7DB6" w:rsidRPr="00664B7D">
        <w:t xml:space="preserve">powierzenie grantu powinna również znaleźć się </w:t>
      </w:r>
      <w:r w:rsidR="007A7DB6" w:rsidRPr="00664B7D">
        <w:lastRenderedPageBreak/>
        <w:t>informacja o zobowiązaniu</w:t>
      </w:r>
      <w:r w:rsidR="006813DA" w:rsidRPr="00664B7D">
        <w:t xml:space="preserve"> </w:t>
      </w:r>
      <w:proofErr w:type="spellStart"/>
      <w:r w:rsidRPr="00664B7D">
        <w:t>G</w:t>
      </w:r>
      <w:r w:rsidR="007A7DB6" w:rsidRPr="00664B7D">
        <w:t>rantobiorcy</w:t>
      </w:r>
      <w:proofErr w:type="spellEnd"/>
      <w:r w:rsidR="007A7DB6" w:rsidRPr="00664B7D">
        <w:t xml:space="preserve"> do przechowywania dokumentów związanych </w:t>
      </w:r>
      <w:r w:rsidR="004A35D0">
        <w:br/>
      </w:r>
      <w:r w:rsidR="007A7DB6" w:rsidRPr="00664B7D">
        <w:t>z realizacją</w:t>
      </w:r>
      <w:r w:rsidR="0003008B" w:rsidRPr="00664B7D">
        <w:t xml:space="preserve"> </w:t>
      </w:r>
      <w:r w:rsidR="007A7DB6" w:rsidRPr="00664B7D">
        <w:t>grantu przez okres wskazany w umowie o dofinansowanie projektu</w:t>
      </w:r>
      <w:r w:rsidR="0003008B" w:rsidRPr="00664B7D">
        <w:t xml:space="preserve"> </w:t>
      </w:r>
      <w:r w:rsidR="007A7DB6" w:rsidRPr="00664B7D">
        <w:t>grantowego, lub też do przekazania całości dokumentacji dotyczącej grantu</w:t>
      </w:r>
      <w:r w:rsidR="0003008B" w:rsidRPr="00664B7D">
        <w:t xml:space="preserve"> </w:t>
      </w:r>
      <w:r w:rsidR="004A35D0">
        <w:br/>
      </w:r>
      <w:r w:rsidR="004D49ED" w:rsidRPr="00664B7D">
        <w:t>do B</w:t>
      </w:r>
      <w:r w:rsidR="007A7DB6" w:rsidRPr="00664B7D">
        <w:t>eneficjenta przed ostatecznym rozliczeniem grantu.</w:t>
      </w:r>
    </w:p>
    <w:p w14:paraId="4F913586" w14:textId="70B2E042" w:rsidR="00A66CA6" w:rsidRPr="00664B7D" w:rsidRDefault="00E15D13" w:rsidP="008B2BFE">
      <w:pPr>
        <w:pStyle w:val="Podrozdzia-K"/>
      </w:pPr>
      <w:bookmarkStart w:id="24" w:name="_Toc145936721"/>
      <w:r w:rsidRPr="00664B7D">
        <w:t>Wskaźniki do osiągnięcia</w:t>
      </w:r>
      <w:bookmarkEnd w:id="24"/>
    </w:p>
    <w:p w14:paraId="10BF2A21" w14:textId="2A810F56" w:rsidR="0068041B" w:rsidRPr="00664B7D" w:rsidRDefault="0068041B" w:rsidP="001C3CAC">
      <w:pPr>
        <w:rPr>
          <w:rFonts w:cstheme="minorHAnsi"/>
        </w:rPr>
      </w:pPr>
      <w:r w:rsidRPr="00664B7D">
        <w:rPr>
          <w:rFonts w:cstheme="minorHAnsi"/>
        </w:rPr>
        <w:t>Realizacja celu projektu mierzona jest poprzez ustalenie wskaźników określonych dla projektu. Dla niniejszego naboru określone zostały następujące wskaźniki:</w:t>
      </w:r>
    </w:p>
    <w:tbl>
      <w:tblPr>
        <w:tblStyle w:val="Tabela-Siatka"/>
        <w:tblW w:w="0" w:type="auto"/>
        <w:tblLook w:val="04A0" w:firstRow="1" w:lastRow="0" w:firstColumn="1" w:lastColumn="0" w:noHBand="0" w:noVBand="1"/>
      </w:tblPr>
      <w:tblGrid>
        <w:gridCol w:w="704"/>
        <w:gridCol w:w="7655"/>
      </w:tblGrid>
      <w:tr w:rsidR="006F3FE0" w:rsidRPr="00664B7D" w14:paraId="68369D75" w14:textId="77777777" w:rsidTr="00510CB3">
        <w:trPr>
          <w:trHeight w:val="570"/>
        </w:trPr>
        <w:tc>
          <w:tcPr>
            <w:tcW w:w="704" w:type="dxa"/>
            <w:shd w:val="clear" w:color="auto" w:fill="4472C4"/>
            <w:vAlign w:val="center"/>
          </w:tcPr>
          <w:p w14:paraId="4CB62870" w14:textId="77777777"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Lp.</w:t>
            </w:r>
          </w:p>
        </w:tc>
        <w:tc>
          <w:tcPr>
            <w:tcW w:w="7655" w:type="dxa"/>
            <w:shd w:val="clear" w:color="auto" w:fill="4472C4"/>
            <w:vAlign w:val="center"/>
          </w:tcPr>
          <w:p w14:paraId="033A21FD" w14:textId="78E41CD5" w:rsidR="006F3FE0" w:rsidRPr="00664B7D" w:rsidRDefault="00964C38" w:rsidP="00510CB3">
            <w:pPr>
              <w:spacing w:line="240" w:lineRule="auto"/>
              <w:jc w:val="center"/>
              <w:rPr>
                <w:rFonts w:eastAsia="Calibri" w:cs="Calibri"/>
                <w:b/>
                <w:color w:val="FFFFFF"/>
              </w:rPr>
            </w:pPr>
            <w:r>
              <w:rPr>
                <w:rFonts w:eastAsia="Calibri" w:cs="Calibri"/>
                <w:b/>
                <w:color w:val="FFFFFF"/>
              </w:rPr>
              <w:t xml:space="preserve">I </w:t>
            </w:r>
            <w:r w:rsidR="006F3FE0" w:rsidRPr="00664B7D">
              <w:rPr>
                <w:rFonts w:eastAsia="Calibri" w:cs="Calibri"/>
                <w:b/>
                <w:color w:val="FFFFFF"/>
              </w:rPr>
              <w:t>Wskaźniki rezultatu bezpośredniego</w:t>
            </w:r>
          </w:p>
        </w:tc>
      </w:tr>
      <w:tr w:rsidR="006F3FE0" w:rsidRPr="00664B7D" w14:paraId="761FE824" w14:textId="77777777" w:rsidTr="00510CB3">
        <w:trPr>
          <w:trHeight w:val="1169"/>
        </w:trPr>
        <w:tc>
          <w:tcPr>
            <w:tcW w:w="704" w:type="dxa"/>
            <w:shd w:val="clear" w:color="auto" w:fill="4472C4"/>
            <w:vAlign w:val="center"/>
          </w:tcPr>
          <w:p w14:paraId="12437457" w14:textId="77777777"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1.</w:t>
            </w:r>
          </w:p>
        </w:tc>
        <w:tc>
          <w:tcPr>
            <w:tcW w:w="7655" w:type="dxa"/>
            <w:vAlign w:val="center"/>
          </w:tcPr>
          <w:p w14:paraId="40D2E820" w14:textId="77777777" w:rsidR="006F3FE0" w:rsidRPr="00664B7D" w:rsidRDefault="006F3FE0" w:rsidP="00510CB3">
            <w:pPr>
              <w:spacing w:line="240" w:lineRule="auto"/>
              <w:rPr>
                <w:rFonts w:eastAsia="Calibri" w:cs="Calibri"/>
              </w:rPr>
            </w:pPr>
            <w:r w:rsidRPr="00664B7D">
              <w:rPr>
                <w:rFonts w:eastAsia="Calibri" w:cs="Calibri"/>
              </w:rPr>
              <w:t>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 (podmioty)</w:t>
            </w:r>
          </w:p>
        </w:tc>
      </w:tr>
      <w:tr w:rsidR="006F3FE0" w:rsidRPr="00664B7D" w14:paraId="793F7865" w14:textId="77777777" w:rsidTr="00510CB3">
        <w:trPr>
          <w:trHeight w:val="705"/>
        </w:trPr>
        <w:tc>
          <w:tcPr>
            <w:tcW w:w="704" w:type="dxa"/>
            <w:shd w:val="clear" w:color="auto" w:fill="4472C4"/>
            <w:vAlign w:val="center"/>
          </w:tcPr>
          <w:p w14:paraId="4119A916" w14:textId="77777777"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2.</w:t>
            </w:r>
          </w:p>
        </w:tc>
        <w:tc>
          <w:tcPr>
            <w:tcW w:w="7655" w:type="dxa"/>
            <w:vAlign w:val="center"/>
          </w:tcPr>
          <w:p w14:paraId="10787C26" w14:textId="77777777" w:rsidR="006F3FE0" w:rsidRPr="00664B7D" w:rsidRDefault="006F3FE0" w:rsidP="00510CB3">
            <w:pPr>
              <w:spacing w:line="240" w:lineRule="auto"/>
              <w:rPr>
                <w:rFonts w:eastAsia="Calibri" w:cs="Calibri"/>
              </w:rPr>
            </w:pPr>
            <w:r w:rsidRPr="00664B7D">
              <w:rPr>
                <w:rFonts w:eastAsia="Calibri" w:cs="Calibri"/>
              </w:rPr>
              <w:t>Liczba organizacji społeczeństwa obywatelskiego, które poprawiły lub wprowadziły nowe metody działania lub rodzaje usług (podmioty)</w:t>
            </w:r>
          </w:p>
        </w:tc>
      </w:tr>
      <w:tr w:rsidR="006F3FE0" w:rsidRPr="00664B7D" w14:paraId="3C975524" w14:textId="77777777" w:rsidTr="00510CB3">
        <w:trPr>
          <w:trHeight w:val="699"/>
        </w:trPr>
        <w:tc>
          <w:tcPr>
            <w:tcW w:w="704" w:type="dxa"/>
            <w:shd w:val="clear" w:color="auto" w:fill="4472C4"/>
            <w:vAlign w:val="center"/>
          </w:tcPr>
          <w:p w14:paraId="12FABC8C" w14:textId="77777777"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3.</w:t>
            </w:r>
          </w:p>
        </w:tc>
        <w:tc>
          <w:tcPr>
            <w:tcW w:w="7655" w:type="dxa"/>
            <w:vAlign w:val="center"/>
          </w:tcPr>
          <w:p w14:paraId="381FF218" w14:textId="77777777" w:rsidR="006F3FE0" w:rsidRPr="00664B7D" w:rsidRDefault="006F3FE0" w:rsidP="00510CB3">
            <w:pPr>
              <w:spacing w:line="240" w:lineRule="auto"/>
              <w:rPr>
                <w:rFonts w:eastAsia="Calibri" w:cs="Calibri"/>
              </w:rPr>
            </w:pPr>
            <w:r w:rsidRPr="00664B7D">
              <w:rPr>
                <w:rFonts w:eastAsia="Calibri" w:cs="Calibri"/>
              </w:rPr>
              <w:t>Liczba przedstawicieli organizacji społeczeństwa obywatelskiego, którzy zdobyli nowe umiejętności, wiedzę lub uzyskali kwalifikacje (osoby)</w:t>
            </w:r>
          </w:p>
        </w:tc>
      </w:tr>
      <w:tr w:rsidR="006F3FE0" w:rsidRPr="00664B7D" w14:paraId="7CCBBE51" w14:textId="77777777" w:rsidTr="00510CB3">
        <w:trPr>
          <w:trHeight w:val="693"/>
        </w:trPr>
        <w:tc>
          <w:tcPr>
            <w:tcW w:w="704" w:type="dxa"/>
            <w:shd w:val="clear" w:color="auto" w:fill="4472C4"/>
            <w:vAlign w:val="center"/>
          </w:tcPr>
          <w:p w14:paraId="14AA186D" w14:textId="77777777"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4.</w:t>
            </w:r>
          </w:p>
        </w:tc>
        <w:tc>
          <w:tcPr>
            <w:tcW w:w="7655" w:type="dxa"/>
            <w:vAlign w:val="center"/>
          </w:tcPr>
          <w:p w14:paraId="5C77D8F9" w14:textId="77777777" w:rsidR="006F3FE0" w:rsidRPr="00664B7D" w:rsidRDefault="006F3FE0" w:rsidP="00510CB3">
            <w:pPr>
              <w:spacing w:line="240" w:lineRule="auto"/>
              <w:rPr>
                <w:rFonts w:eastAsia="Calibri" w:cs="Calibri"/>
              </w:rPr>
            </w:pPr>
            <w:r w:rsidRPr="00664B7D">
              <w:rPr>
                <w:rFonts w:eastAsia="Calibri" w:cs="Calibri"/>
              </w:rPr>
              <w:t>Liczba organizacji partnerów społecznych, które zwiększyły swój potencjał (podmioty)</w:t>
            </w:r>
          </w:p>
        </w:tc>
      </w:tr>
      <w:tr w:rsidR="006F3FE0" w:rsidRPr="00664B7D" w14:paraId="0313F2EC" w14:textId="77777777" w:rsidTr="00510CB3">
        <w:trPr>
          <w:trHeight w:val="703"/>
        </w:trPr>
        <w:tc>
          <w:tcPr>
            <w:tcW w:w="704" w:type="dxa"/>
            <w:shd w:val="clear" w:color="auto" w:fill="4472C4"/>
            <w:vAlign w:val="center"/>
          </w:tcPr>
          <w:p w14:paraId="2F511EEA" w14:textId="77777777"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5.</w:t>
            </w:r>
          </w:p>
        </w:tc>
        <w:tc>
          <w:tcPr>
            <w:tcW w:w="7655" w:type="dxa"/>
            <w:vAlign w:val="center"/>
          </w:tcPr>
          <w:p w14:paraId="561BC9A7" w14:textId="77777777" w:rsidR="006F3FE0" w:rsidRPr="00664B7D" w:rsidRDefault="006F3FE0" w:rsidP="00510CB3">
            <w:pPr>
              <w:spacing w:line="240" w:lineRule="auto"/>
              <w:rPr>
                <w:rFonts w:eastAsia="Calibri" w:cs="Calibri"/>
              </w:rPr>
            </w:pPr>
            <w:r w:rsidRPr="00664B7D">
              <w:rPr>
                <w:rFonts w:eastAsia="Calibri" w:cs="Calibri"/>
              </w:rPr>
              <w:t>Liczba przedstawicieli organizacji partnerów społecznych, którzy podnieśli kompetencje (osoby)</w:t>
            </w:r>
          </w:p>
        </w:tc>
      </w:tr>
      <w:tr w:rsidR="00296BBE" w:rsidRPr="00664B7D" w14:paraId="691DC2A4" w14:textId="77777777" w:rsidTr="00510CB3">
        <w:trPr>
          <w:trHeight w:val="703"/>
        </w:trPr>
        <w:tc>
          <w:tcPr>
            <w:tcW w:w="704" w:type="dxa"/>
            <w:shd w:val="clear" w:color="auto" w:fill="4472C4"/>
            <w:vAlign w:val="center"/>
          </w:tcPr>
          <w:p w14:paraId="283C276F" w14:textId="08895D7B" w:rsidR="00296BBE" w:rsidRPr="00664B7D" w:rsidRDefault="00296BBE" w:rsidP="00510CB3">
            <w:pPr>
              <w:spacing w:line="240" w:lineRule="auto"/>
              <w:jc w:val="center"/>
              <w:rPr>
                <w:rFonts w:eastAsia="Calibri" w:cs="Calibri"/>
                <w:b/>
                <w:color w:val="FFFFFF"/>
              </w:rPr>
            </w:pPr>
            <w:r>
              <w:rPr>
                <w:rFonts w:eastAsia="Calibri" w:cs="Calibri"/>
                <w:b/>
                <w:color w:val="FFFFFF"/>
              </w:rPr>
              <w:t>6.</w:t>
            </w:r>
          </w:p>
        </w:tc>
        <w:tc>
          <w:tcPr>
            <w:tcW w:w="7655" w:type="dxa"/>
            <w:vAlign w:val="center"/>
          </w:tcPr>
          <w:p w14:paraId="26C18526" w14:textId="5D2E8C82" w:rsidR="00296BBE" w:rsidRPr="00664B7D" w:rsidRDefault="00296BBE" w:rsidP="00510CB3">
            <w:pPr>
              <w:spacing w:line="240" w:lineRule="auto"/>
              <w:rPr>
                <w:rFonts w:eastAsia="Calibri" w:cs="Calibri"/>
              </w:rPr>
            </w:pPr>
            <w:r w:rsidRPr="00296BBE">
              <w:rPr>
                <w:rFonts w:eastAsia="Calibri" w:cs="Calibri"/>
              </w:rPr>
              <w:t>Liczba osób, które uzyskały kwalifikacje po opuszczeniu programu</w:t>
            </w:r>
            <w:r w:rsidR="00452BDC">
              <w:rPr>
                <w:rFonts w:eastAsia="Calibri" w:cs="Calibri"/>
              </w:rPr>
              <w:t xml:space="preserve"> (osoby)</w:t>
            </w:r>
          </w:p>
        </w:tc>
      </w:tr>
      <w:tr w:rsidR="006F3FE0" w:rsidRPr="00664B7D" w14:paraId="01607271" w14:textId="77777777" w:rsidTr="00510CB3">
        <w:trPr>
          <w:trHeight w:val="555"/>
        </w:trPr>
        <w:tc>
          <w:tcPr>
            <w:tcW w:w="704" w:type="dxa"/>
            <w:shd w:val="clear" w:color="auto" w:fill="4472C4"/>
            <w:vAlign w:val="center"/>
          </w:tcPr>
          <w:p w14:paraId="2F5B06C0" w14:textId="77777777" w:rsidR="006F3FE0" w:rsidRPr="00664B7D" w:rsidRDefault="006F3FE0" w:rsidP="00510CB3">
            <w:pPr>
              <w:spacing w:line="240" w:lineRule="auto"/>
              <w:jc w:val="center"/>
              <w:rPr>
                <w:rFonts w:eastAsia="Calibri" w:cs="Calibri"/>
                <w:b/>
                <w:color w:val="FFFFFF"/>
              </w:rPr>
            </w:pPr>
          </w:p>
        </w:tc>
        <w:tc>
          <w:tcPr>
            <w:tcW w:w="7655" w:type="dxa"/>
            <w:shd w:val="clear" w:color="auto" w:fill="4472C4"/>
            <w:vAlign w:val="center"/>
          </w:tcPr>
          <w:p w14:paraId="521EC460" w14:textId="3D0A4ECD" w:rsidR="006F3FE0" w:rsidRPr="00664B7D" w:rsidRDefault="00964C38" w:rsidP="00510CB3">
            <w:pPr>
              <w:spacing w:line="240" w:lineRule="auto"/>
              <w:jc w:val="center"/>
              <w:rPr>
                <w:rFonts w:eastAsia="Calibri" w:cs="Calibri"/>
                <w:b/>
              </w:rPr>
            </w:pPr>
            <w:r>
              <w:rPr>
                <w:rFonts w:eastAsia="Calibri" w:cs="Calibri"/>
                <w:b/>
                <w:color w:val="FFFFFF"/>
              </w:rPr>
              <w:t xml:space="preserve">II </w:t>
            </w:r>
            <w:r w:rsidR="006F3FE0" w:rsidRPr="00664B7D">
              <w:rPr>
                <w:rFonts w:eastAsia="Calibri" w:cs="Calibri"/>
                <w:b/>
                <w:color w:val="FFFFFF"/>
              </w:rPr>
              <w:t>Wskaźniki produktu</w:t>
            </w:r>
          </w:p>
        </w:tc>
      </w:tr>
      <w:tr w:rsidR="006F3FE0" w:rsidRPr="00664B7D" w14:paraId="7BCEA760" w14:textId="77777777" w:rsidTr="00510CB3">
        <w:trPr>
          <w:trHeight w:val="1132"/>
        </w:trPr>
        <w:tc>
          <w:tcPr>
            <w:tcW w:w="704" w:type="dxa"/>
            <w:shd w:val="clear" w:color="auto" w:fill="4472C4"/>
            <w:vAlign w:val="center"/>
          </w:tcPr>
          <w:p w14:paraId="6C130B2D" w14:textId="06C129EA" w:rsidR="006F3FE0" w:rsidRPr="00664B7D" w:rsidRDefault="00C61C1C" w:rsidP="00510CB3">
            <w:pPr>
              <w:spacing w:line="240" w:lineRule="auto"/>
              <w:jc w:val="center"/>
              <w:rPr>
                <w:rFonts w:eastAsia="Calibri" w:cs="Calibri"/>
                <w:b/>
                <w:color w:val="FFFFFF"/>
              </w:rPr>
            </w:pPr>
            <w:r>
              <w:rPr>
                <w:rFonts w:eastAsia="Calibri" w:cs="Calibri"/>
                <w:b/>
                <w:color w:val="FFFFFF"/>
              </w:rPr>
              <w:t>1</w:t>
            </w:r>
            <w:r w:rsidR="006F3FE0" w:rsidRPr="00664B7D">
              <w:rPr>
                <w:rFonts w:eastAsia="Calibri" w:cs="Calibri"/>
                <w:b/>
                <w:color w:val="FFFFFF"/>
              </w:rPr>
              <w:t>.</w:t>
            </w:r>
          </w:p>
        </w:tc>
        <w:tc>
          <w:tcPr>
            <w:tcW w:w="7655" w:type="dxa"/>
            <w:shd w:val="clear" w:color="auto" w:fill="FFFFFF"/>
            <w:vAlign w:val="center"/>
          </w:tcPr>
          <w:p w14:paraId="31A0AB0C" w14:textId="77777777" w:rsidR="006F3FE0" w:rsidRPr="00664B7D" w:rsidRDefault="006F3FE0" w:rsidP="00510CB3">
            <w:pPr>
              <w:spacing w:line="240" w:lineRule="auto"/>
              <w:rPr>
                <w:rFonts w:eastAsia="Calibri" w:cs="Calibri"/>
                <w:b/>
                <w:color w:val="FFFFFF"/>
              </w:rPr>
            </w:pPr>
            <w:r w:rsidRPr="00664B7D">
              <w:rPr>
                <w:rFonts w:eastAsia="Calibri" w:cs="Calibri"/>
              </w:rPr>
              <w:t>Liczba organizacji społeczeństwa obywatelskiego wspartych  w co najmniej jednym z następujących obszarów: standardy i procedury zarządzania, refleksyjność, wydolność finansowa, rzecznictwo, jakość usług, współpraca międzysektorowa (podmioty)</w:t>
            </w:r>
          </w:p>
        </w:tc>
      </w:tr>
      <w:tr w:rsidR="006F3FE0" w:rsidRPr="00664B7D" w14:paraId="17AB3CE6" w14:textId="77777777" w:rsidTr="00510CB3">
        <w:trPr>
          <w:trHeight w:val="696"/>
        </w:trPr>
        <w:tc>
          <w:tcPr>
            <w:tcW w:w="704" w:type="dxa"/>
            <w:shd w:val="clear" w:color="auto" w:fill="4472C4"/>
            <w:vAlign w:val="center"/>
          </w:tcPr>
          <w:p w14:paraId="41F7FAAC" w14:textId="69DECFD2" w:rsidR="006F3FE0" w:rsidRPr="00664B7D" w:rsidRDefault="00C61C1C" w:rsidP="00510CB3">
            <w:pPr>
              <w:spacing w:line="240" w:lineRule="auto"/>
              <w:jc w:val="center"/>
              <w:rPr>
                <w:rFonts w:eastAsia="Calibri" w:cs="Calibri"/>
                <w:b/>
                <w:color w:val="FFFFFF"/>
              </w:rPr>
            </w:pPr>
            <w:r>
              <w:rPr>
                <w:rFonts w:eastAsia="Calibri" w:cs="Calibri"/>
                <w:b/>
                <w:color w:val="FFFFFF"/>
              </w:rPr>
              <w:t>2</w:t>
            </w:r>
            <w:r w:rsidR="006F3FE0" w:rsidRPr="00664B7D">
              <w:rPr>
                <w:rFonts w:eastAsia="Calibri" w:cs="Calibri"/>
                <w:b/>
                <w:color w:val="FFFFFF"/>
              </w:rPr>
              <w:t>.</w:t>
            </w:r>
          </w:p>
        </w:tc>
        <w:tc>
          <w:tcPr>
            <w:tcW w:w="7655" w:type="dxa"/>
            <w:shd w:val="clear" w:color="auto" w:fill="FFFFFF"/>
            <w:vAlign w:val="center"/>
          </w:tcPr>
          <w:p w14:paraId="6158686E" w14:textId="77777777" w:rsidR="006F3FE0" w:rsidRPr="00664B7D" w:rsidRDefault="006F3FE0" w:rsidP="00510CB3">
            <w:pPr>
              <w:spacing w:line="240" w:lineRule="auto"/>
              <w:rPr>
                <w:rFonts w:eastAsia="Calibri" w:cs="Calibri"/>
              </w:rPr>
            </w:pPr>
            <w:r w:rsidRPr="00664B7D">
              <w:rPr>
                <w:rFonts w:eastAsia="Calibri" w:cs="Calibri"/>
              </w:rPr>
              <w:t>Liczba organizacji społeczeństwa obywatelskiego wspartych w zakresie wdrażania nowych metod działania lub rodzajów usług (podmioty)</w:t>
            </w:r>
          </w:p>
        </w:tc>
      </w:tr>
      <w:tr w:rsidR="006F3FE0" w:rsidRPr="00664B7D" w14:paraId="0079FCC2" w14:textId="77777777" w:rsidTr="00510CB3">
        <w:trPr>
          <w:trHeight w:val="705"/>
        </w:trPr>
        <w:tc>
          <w:tcPr>
            <w:tcW w:w="704" w:type="dxa"/>
            <w:shd w:val="clear" w:color="auto" w:fill="4472C4"/>
            <w:vAlign w:val="center"/>
          </w:tcPr>
          <w:p w14:paraId="1F4BFD7A" w14:textId="744B9E7B" w:rsidR="006F3FE0" w:rsidRPr="00664B7D" w:rsidRDefault="00C61C1C" w:rsidP="00510CB3">
            <w:pPr>
              <w:spacing w:line="240" w:lineRule="auto"/>
              <w:jc w:val="center"/>
              <w:rPr>
                <w:rFonts w:eastAsia="Calibri" w:cs="Calibri"/>
                <w:b/>
                <w:color w:val="FFFFFF"/>
              </w:rPr>
            </w:pPr>
            <w:r>
              <w:rPr>
                <w:rFonts w:eastAsia="Calibri" w:cs="Calibri"/>
                <w:b/>
                <w:color w:val="FFFFFF"/>
              </w:rPr>
              <w:t>3</w:t>
            </w:r>
            <w:r w:rsidR="006F3FE0" w:rsidRPr="00664B7D">
              <w:rPr>
                <w:rFonts w:eastAsia="Calibri" w:cs="Calibri"/>
                <w:b/>
                <w:color w:val="FFFFFF"/>
              </w:rPr>
              <w:t>.</w:t>
            </w:r>
          </w:p>
        </w:tc>
        <w:tc>
          <w:tcPr>
            <w:tcW w:w="7655" w:type="dxa"/>
            <w:shd w:val="clear" w:color="auto" w:fill="FFFFFF"/>
            <w:vAlign w:val="center"/>
          </w:tcPr>
          <w:p w14:paraId="4147F475" w14:textId="77777777" w:rsidR="006F3FE0" w:rsidRPr="00664B7D" w:rsidRDefault="006F3FE0" w:rsidP="00510CB3">
            <w:pPr>
              <w:spacing w:line="240" w:lineRule="auto"/>
              <w:rPr>
                <w:rFonts w:eastAsia="Calibri" w:cs="Calibri"/>
              </w:rPr>
            </w:pPr>
            <w:r w:rsidRPr="00664B7D">
              <w:rPr>
                <w:rFonts w:eastAsia="Calibri" w:cs="Calibri"/>
              </w:rPr>
              <w:t>Liczba przedstawicieli organizacji społeczeństwa obywatelskiego (w tym wolontariuszy) objętych wsparciem w programie (osoby)</w:t>
            </w:r>
          </w:p>
        </w:tc>
      </w:tr>
      <w:tr w:rsidR="006F3FE0" w:rsidRPr="00664B7D" w14:paraId="61E40CD4" w14:textId="77777777" w:rsidTr="00510CB3">
        <w:trPr>
          <w:trHeight w:val="555"/>
        </w:trPr>
        <w:tc>
          <w:tcPr>
            <w:tcW w:w="704" w:type="dxa"/>
            <w:shd w:val="clear" w:color="auto" w:fill="4472C4"/>
            <w:vAlign w:val="center"/>
          </w:tcPr>
          <w:p w14:paraId="62E24031" w14:textId="1966D451" w:rsidR="006F3FE0" w:rsidRPr="00664B7D" w:rsidRDefault="00C61C1C" w:rsidP="00510CB3">
            <w:pPr>
              <w:spacing w:line="240" w:lineRule="auto"/>
              <w:jc w:val="center"/>
              <w:rPr>
                <w:rFonts w:eastAsia="Calibri" w:cs="Calibri"/>
                <w:b/>
                <w:color w:val="FFFFFF"/>
              </w:rPr>
            </w:pPr>
            <w:r>
              <w:rPr>
                <w:rFonts w:eastAsia="Calibri" w:cs="Calibri"/>
                <w:b/>
                <w:color w:val="FFFFFF"/>
              </w:rPr>
              <w:t>4</w:t>
            </w:r>
            <w:r w:rsidR="006F3FE0" w:rsidRPr="00664B7D">
              <w:rPr>
                <w:rFonts w:eastAsia="Calibri" w:cs="Calibri"/>
                <w:b/>
                <w:color w:val="FFFFFF"/>
              </w:rPr>
              <w:t>.</w:t>
            </w:r>
          </w:p>
        </w:tc>
        <w:tc>
          <w:tcPr>
            <w:tcW w:w="7655" w:type="dxa"/>
            <w:shd w:val="clear" w:color="auto" w:fill="FFFFFF"/>
            <w:vAlign w:val="center"/>
          </w:tcPr>
          <w:p w14:paraId="1CC58DF7" w14:textId="77777777" w:rsidR="006F3FE0" w:rsidRPr="00664B7D" w:rsidRDefault="006F3FE0" w:rsidP="00510CB3">
            <w:pPr>
              <w:spacing w:line="240" w:lineRule="auto"/>
              <w:rPr>
                <w:rFonts w:eastAsia="Calibri" w:cs="Calibri"/>
              </w:rPr>
            </w:pPr>
            <w:r w:rsidRPr="00664B7D">
              <w:rPr>
                <w:rFonts w:eastAsia="Calibri" w:cs="Calibri"/>
              </w:rPr>
              <w:t>Liczba organizacji partnerów społecznych objętych wsparciem (podmioty)</w:t>
            </w:r>
          </w:p>
        </w:tc>
      </w:tr>
      <w:tr w:rsidR="006F3FE0" w:rsidRPr="00664B7D" w14:paraId="36D90218" w14:textId="77777777" w:rsidTr="00510CB3">
        <w:trPr>
          <w:trHeight w:val="709"/>
        </w:trPr>
        <w:tc>
          <w:tcPr>
            <w:tcW w:w="704" w:type="dxa"/>
            <w:shd w:val="clear" w:color="auto" w:fill="4472C4"/>
            <w:vAlign w:val="center"/>
          </w:tcPr>
          <w:p w14:paraId="04CD0187" w14:textId="63A58A9E" w:rsidR="006F3FE0" w:rsidRPr="00664B7D" w:rsidRDefault="00C61C1C" w:rsidP="00510CB3">
            <w:pPr>
              <w:spacing w:line="240" w:lineRule="auto"/>
              <w:jc w:val="center"/>
              <w:rPr>
                <w:rFonts w:eastAsia="Calibri" w:cs="Calibri"/>
                <w:b/>
                <w:color w:val="FFFFFF"/>
              </w:rPr>
            </w:pPr>
            <w:r>
              <w:rPr>
                <w:rFonts w:eastAsia="Calibri" w:cs="Calibri"/>
                <w:b/>
                <w:color w:val="FFFFFF"/>
              </w:rPr>
              <w:t>5</w:t>
            </w:r>
            <w:r w:rsidR="006F3FE0" w:rsidRPr="00664B7D">
              <w:rPr>
                <w:rFonts w:eastAsia="Calibri" w:cs="Calibri"/>
                <w:b/>
                <w:color w:val="FFFFFF"/>
              </w:rPr>
              <w:t>.</w:t>
            </w:r>
          </w:p>
        </w:tc>
        <w:tc>
          <w:tcPr>
            <w:tcW w:w="7655" w:type="dxa"/>
            <w:shd w:val="clear" w:color="auto" w:fill="FFFFFF"/>
            <w:vAlign w:val="center"/>
          </w:tcPr>
          <w:p w14:paraId="47C049B8" w14:textId="77777777" w:rsidR="006F3FE0" w:rsidRPr="00664B7D" w:rsidRDefault="006F3FE0" w:rsidP="00510CB3">
            <w:pPr>
              <w:spacing w:line="240" w:lineRule="auto"/>
              <w:rPr>
                <w:rFonts w:eastAsia="Calibri" w:cs="Calibri"/>
              </w:rPr>
            </w:pPr>
            <w:r w:rsidRPr="00664B7D">
              <w:rPr>
                <w:rFonts w:eastAsia="Calibri" w:cs="Calibri"/>
              </w:rPr>
              <w:t>Liczba przedstawicieli organizacji partnerów społecznych objętych wsparciem (osoby)</w:t>
            </w:r>
          </w:p>
        </w:tc>
      </w:tr>
      <w:tr w:rsidR="006F3FE0" w:rsidRPr="00664B7D" w14:paraId="1EC0486D" w14:textId="77777777" w:rsidTr="00510CB3">
        <w:trPr>
          <w:trHeight w:val="555"/>
        </w:trPr>
        <w:tc>
          <w:tcPr>
            <w:tcW w:w="704" w:type="dxa"/>
            <w:shd w:val="clear" w:color="auto" w:fill="4472C4"/>
            <w:vAlign w:val="center"/>
          </w:tcPr>
          <w:p w14:paraId="3E321BED" w14:textId="77777777" w:rsidR="006F3FE0" w:rsidRPr="00664B7D" w:rsidRDefault="006F3FE0" w:rsidP="00510CB3">
            <w:pPr>
              <w:spacing w:line="240" w:lineRule="auto"/>
              <w:jc w:val="center"/>
              <w:rPr>
                <w:rFonts w:eastAsia="Calibri" w:cs="Calibri"/>
                <w:b/>
                <w:color w:val="FFFFFF"/>
              </w:rPr>
            </w:pPr>
          </w:p>
        </w:tc>
        <w:tc>
          <w:tcPr>
            <w:tcW w:w="7655" w:type="dxa"/>
            <w:shd w:val="clear" w:color="auto" w:fill="4472C4"/>
            <w:vAlign w:val="center"/>
          </w:tcPr>
          <w:p w14:paraId="23661855" w14:textId="1EE3B827" w:rsidR="006F3FE0" w:rsidRPr="00664B7D" w:rsidRDefault="00964C38" w:rsidP="00510CB3">
            <w:pPr>
              <w:spacing w:line="240" w:lineRule="auto"/>
              <w:jc w:val="center"/>
              <w:rPr>
                <w:rFonts w:eastAsia="Calibri" w:cs="Calibri"/>
                <w:b/>
              </w:rPr>
            </w:pPr>
            <w:r>
              <w:rPr>
                <w:rFonts w:eastAsia="Calibri" w:cs="Calibri"/>
                <w:b/>
                <w:color w:val="FFFFFF"/>
              </w:rPr>
              <w:t xml:space="preserve">III </w:t>
            </w:r>
            <w:r w:rsidR="006F3FE0" w:rsidRPr="00664B7D">
              <w:rPr>
                <w:rFonts w:eastAsia="Calibri" w:cs="Calibri"/>
                <w:b/>
                <w:color w:val="FFFFFF"/>
              </w:rPr>
              <w:t>Wskaźniki wspólne</w:t>
            </w:r>
          </w:p>
        </w:tc>
      </w:tr>
      <w:tr w:rsidR="006F3FE0" w:rsidRPr="00664B7D" w14:paraId="1A0C342A" w14:textId="77777777" w:rsidTr="00510CB3">
        <w:trPr>
          <w:trHeight w:val="555"/>
        </w:trPr>
        <w:tc>
          <w:tcPr>
            <w:tcW w:w="704" w:type="dxa"/>
            <w:shd w:val="clear" w:color="auto" w:fill="4472C4"/>
            <w:vAlign w:val="center"/>
          </w:tcPr>
          <w:p w14:paraId="51A74561" w14:textId="01E1A528" w:rsidR="006F3FE0" w:rsidRPr="00664B7D" w:rsidRDefault="00C61C1C" w:rsidP="00510CB3">
            <w:pPr>
              <w:spacing w:line="240" w:lineRule="auto"/>
              <w:jc w:val="center"/>
              <w:rPr>
                <w:rFonts w:eastAsia="Calibri" w:cs="Calibri"/>
                <w:b/>
                <w:color w:val="FFFFFF"/>
              </w:rPr>
            </w:pPr>
            <w:r>
              <w:rPr>
                <w:rFonts w:eastAsia="Calibri" w:cs="Calibri"/>
                <w:b/>
                <w:color w:val="FFFFFF"/>
              </w:rPr>
              <w:lastRenderedPageBreak/>
              <w:t>1</w:t>
            </w:r>
            <w:r w:rsidR="006F3FE0" w:rsidRPr="00664B7D">
              <w:rPr>
                <w:rFonts w:eastAsia="Calibri" w:cs="Calibri"/>
                <w:b/>
                <w:color w:val="FFFFFF"/>
              </w:rPr>
              <w:t>.</w:t>
            </w:r>
          </w:p>
        </w:tc>
        <w:tc>
          <w:tcPr>
            <w:tcW w:w="7655" w:type="dxa"/>
            <w:shd w:val="clear" w:color="auto" w:fill="FFFFFF"/>
            <w:vAlign w:val="center"/>
          </w:tcPr>
          <w:p w14:paraId="191D7488" w14:textId="77777777" w:rsidR="006F3FE0" w:rsidRPr="00664B7D" w:rsidRDefault="006F3FE0" w:rsidP="00510CB3">
            <w:pPr>
              <w:spacing w:line="240" w:lineRule="auto"/>
              <w:rPr>
                <w:rFonts w:eastAsia="Calibri" w:cs="Calibri"/>
              </w:rPr>
            </w:pPr>
            <w:r w:rsidRPr="00664B7D">
              <w:rPr>
                <w:rFonts w:eastAsia="Calibri" w:cs="Calibri"/>
              </w:rPr>
              <w:t>Liczba osób z niepełnosprawnościami objętych wsparciem w programie (osoby)</w:t>
            </w:r>
          </w:p>
        </w:tc>
      </w:tr>
      <w:tr w:rsidR="006F3FE0" w:rsidRPr="00664B7D" w14:paraId="0F592B3E" w14:textId="77777777" w:rsidTr="00510CB3">
        <w:trPr>
          <w:trHeight w:val="555"/>
        </w:trPr>
        <w:tc>
          <w:tcPr>
            <w:tcW w:w="704" w:type="dxa"/>
            <w:shd w:val="clear" w:color="auto" w:fill="4472C4"/>
            <w:vAlign w:val="center"/>
          </w:tcPr>
          <w:p w14:paraId="6139EFEB" w14:textId="223D9CD0"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2.</w:t>
            </w:r>
          </w:p>
        </w:tc>
        <w:tc>
          <w:tcPr>
            <w:tcW w:w="7655" w:type="dxa"/>
            <w:shd w:val="clear" w:color="auto" w:fill="FFFFFF"/>
            <w:vAlign w:val="center"/>
          </w:tcPr>
          <w:p w14:paraId="06B60136" w14:textId="77777777" w:rsidR="006F3FE0" w:rsidRPr="00664B7D" w:rsidRDefault="006F3FE0" w:rsidP="00510CB3">
            <w:pPr>
              <w:spacing w:line="240" w:lineRule="auto"/>
              <w:rPr>
                <w:rFonts w:eastAsia="Calibri" w:cs="Calibri"/>
              </w:rPr>
            </w:pPr>
            <w:r w:rsidRPr="00664B7D">
              <w:rPr>
                <w:rFonts w:eastAsia="Calibri" w:cs="Calibri"/>
              </w:rPr>
              <w:t>Liczba osób z krajów trzecich objętych wsparciem w programie (osoby)</w:t>
            </w:r>
          </w:p>
        </w:tc>
      </w:tr>
      <w:tr w:rsidR="006F3FE0" w:rsidRPr="00664B7D" w14:paraId="008AECAA" w14:textId="77777777" w:rsidTr="00510CB3">
        <w:trPr>
          <w:trHeight w:val="555"/>
        </w:trPr>
        <w:tc>
          <w:tcPr>
            <w:tcW w:w="704" w:type="dxa"/>
            <w:shd w:val="clear" w:color="auto" w:fill="4472C4"/>
            <w:vAlign w:val="center"/>
          </w:tcPr>
          <w:p w14:paraId="6ADCACF5" w14:textId="7D95EE14"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3.</w:t>
            </w:r>
          </w:p>
        </w:tc>
        <w:tc>
          <w:tcPr>
            <w:tcW w:w="7655" w:type="dxa"/>
            <w:shd w:val="clear" w:color="auto" w:fill="FFFFFF"/>
            <w:vAlign w:val="center"/>
          </w:tcPr>
          <w:p w14:paraId="2EE41F20" w14:textId="77777777" w:rsidR="006F3FE0" w:rsidRPr="00664B7D" w:rsidRDefault="006F3FE0" w:rsidP="00510CB3">
            <w:pPr>
              <w:spacing w:line="240" w:lineRule="auto"/>
              <w:rPr>
                <w:rFonts w:eastAsia="Calibri" w:cs="Calibri"/>
              </w:rPr>
            </w:pPr>
            <w:r w:rsidRPr="00664B7D">
              <w:rPr>
                <w:rFonts w:eastAsia="Calibri" w:cs="Calibri"/>
              </w:rPr>
              <w:t>Liczba osób obcego pochodzenia objętych wsparciem w programie (osoby)</w:t>
            </w:r>
          </w:p>
        </w:tc>
      </w:tr>
      <w:tr w:rsidR="006F3FE0" w:rsidRPr="00664B7D" w14:paraId="454754E5" w14:textId="77777777" w:rsidTr="00510CB3">
        <w:trPr>
          <w:trHeight w:val="555"/>
        </w:trPr>
        <w:tc>
          <w:tcPr>
            <w:tcW w:w="704" w:type="dxa"/>
            <w:shd w:val="clear" w:color="auto" w:fill="4472C4"/>
            <w:vAlign w:val="center"/>
          </w:tcPr>
          <w:p w14:paraId="6CA5E7A8" w14:textId="71806CF9"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4.</w:t>
            </w:r>
          </w:p>
        </w:tc>
        <w:tc>
          <w:tcPr>
            <w:tcW w:w="7655" w:type="dxa"/>
            <w:shd w:val="clear" w:color="auto" w:fill="FFFFFF"/>
            <w:vAlign w:val="center"/>
          </w:tcPr>
          <w:p w14:paraId="33B51730" w14:textId="77777777" w:rsidR="006F3FE0" w:rsidRPr="00664B7D" w:rsidRDefault="006F3FE0" w:rsidP="00510CB3">
            <w:pPr>
              <w:spacing w:line="240" w:lineRule="auto"/>
              <w:rPr>
                <w:rFonts w:eastAsia="Calibri" w:cs="Calibri"/>
              </w:rPr>
            </w:pPr>
            <w:r w:rsidRPr="00664B7D">
              <w:rPr>
                <w:rFonts w:eastAsia="Calibri" w:cs="Calibri"/>
              </w:rPr>
              <w:t>Liczba osób należących do mniejszości, w tym społeczności marginalizowanych takich jak Romowie, objętych wsparciem w programie (osoby)</w:t>
            </w:r>
          </w:p>
        </w:tc>
      </w:tr>
      <w:tr w:rsidR="006F3FE0" w:rsidRPr="00664B7D" w14:paraId="1BD603F3" w14:textId="77777777" w:rsidTr="00510CB3">
        <w:trPr>
          <w:trHeight w:val="555"/>
        </w:trPr>
        <w:tc>
          <w:tcPr>
            <w:tcW w:w="704" w:type="dxa"/>
            <w:shd w:val="clear" w:color="auto" w:fill="4472C4"/>
            <w:vAlign w:val="center"/>
          </w:tcPr>
          <w:p w14:paraId="5C90A178" w14:textId="1F903188"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5.</w:t>
            </w:r>
          </w:p>
        </w:tc>
        <w:tc>
          <w:tcPr>
            <w:tcW w:w="7655" w:type="dxa"/>
            <w:shd w:val="clear" w:color="auto" w:fill="FFFFFF"/>
            <w:vAlign w:val="center"/>
          </w:tcPr>
          <w:p w14:paraId="338F4EFD" w14:textId="77777777" w:rsidR="006F3FE0" w:rsidRPr="00664B7D" w:rsidRDefault="006F3FE0" w:rsidP="00510CB3">
            <w:pPr>
              <w:spacing w:line="240" w:lineRule="auto"/>
              <w:rPr>
                <w:rFonts w:eastAsia="Calibri" w:cs="Calibri"/>
              </w:rPr>
            </w:pPr>
            <w:r w:rsidRPr="00664B7D">
              <w:rPr>
                <w:rFonts w:eastAsia="Calibri" w:cs="Calibri"/>
              </w:rPr>
              <w:t>Liczba osób w kryzysie bezdomności lub dotkniętych wykluczeniem z dostępu do mieszkań, objętych wsparciem w programie (osoby)</w:t>
            </w:r>
          </w:p>
        </w:tc>
      </w:tr>
      <w:tr w:rsidR="006F3FE0" w:rsidRPr="00664B7D" w14:paraId="1EFA917F" w14:textId="77777777" w:rsidTr="00510CB3">
        <w:trPr>
          <w:trHeight w:val="708"/>
        </w:trPr>
        <w:tc>
          <w:tcPr>
            <w:tcW w:w="704" w:type="dxa"/>
            <w:shd w:val="clear" w:color="auto" w:fill="4472C4"/>
            <w:vAlign w:val="center"/>
          </w:tcPr>
          <w:p w14:paraId="7C62320D" w14:textId="15828514"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6.</w:t>
            </w:r>
          </w:p>
        </w:tc>
        <w:tc>
          <w:tcPr>
            <w:tcW w:w="7655" w:type="dxa"/>
            <w:shd w:val="clear" w:color="auto" w:fill="FFFFFF"/>
            <w:vAlign w:val="center"/>
          </w:tcPr>
          <w:p w14:paraId="5E272670" w14:textId="77777777" w:rsidR="006F3FE0" w:rsidRPr="00664B7D" w:rsidRDefault="006F3FE0" w:rsidP="00510CB3">
            <w:pPr>
              <w:spacing w:line="240" w:lineRule="auto"/>
              <w:rPr>
                <w:rFonts w:eastAsia="Calibri" w:cs="Calibri"/>
              </w:rPr>
            </w:pPr>
            <w:r w:rsidRPr="00664B7D">
              <w:rPr>
                <w:rFonts w:eastAsia="Calibri" w:cs="Calibri"/>
              </w:rPr>
              <w:t>Liczba projektów, w których sfinansowano koszty racjonalnych usprawnień dla osób z niepełnosprawnościami (sztuki)</w:t>
            </w:r>
          </w:p>
        </w:tc>
      </w:tr>
      <w:tr w:rsidR="006F3FE0" w:rsidRPr="00664B7D" w14:paraId="5769BF74" w14:textId="77777777" w:rsidTr="00510CB3">
        <w:trPr>
          <w:trHeight w:val="690"/>
        </w:trPr>
        <w:tc>
          <w:tcPr>
            <w:tcW w:w="704" w:type="dxa"/>
            <w:shd w:val="clear" w:color="auto" w:fill="4472C4"/>
            <w:vAlign w:val="center"/>
          </w:tcPr>
          <w:p w14:paraId="0DAC83D1" w14:textId="2BCD4B67"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7.</w:t>
            </w:r>
          </w:p>
        </w:tc>
        <w:tc>
          <w:tcPr>
            <w:tcW w:w="7655" w:type="dxa"/>
            <w:shd w:val="clear" w:color="auto" w:fill="FFFFFF"/>
            <w:vAlign w:val="center"/>
          </w:tcPr>
          <w:p w14:paraId="2E4991C3" w14:textId="77777777" w:rsidR="006F3FE0" w:rsidRPr="00664B7D" w:rsidRDefault="006F3FE0" w:rsidP="00510CB3">
            <w:pPr>
              <w:spacing w:line="240" w:lineRule="auto"/>
              <w:rPr>
                <w:rFonts w:eastAsia="Calibri" w:cs="Calibri"/>
              </w:rPr>
            </w:pPr>
            <w:r w:rsidRPr="00664B7D">
              <w:rPr>
                <w:rFonts w:eastAsia="Calibri" w:cs="Calibri"/>
              </w:rPr>
              <w:t>Liczba obiektów dostosowanych do potrzeb osób z niepełnosprawnościami (sztuki)</w:t>
            </w:r>
          </w:p>
        </w:tc>
      </w:tr>
      <w:tr w:rsidR="006F3FE0" w:rsidRPr="00664B7D" w14:paraId="4382F964" w14:textId="77777777" w:rsidTr="00510CB3">
        <w:trPr>
          <w:trHeight w:val="700"/>
        </w:trPr>
        <w:tc>
          <w:tcPr>
            <w:tcW w:w="704" w:type="dxa"/>
            <w:shd w:val="clear" w:color="auto" w:fill="4472C4"/>
            <w:vAlign w:val="center"/>
          </w:tcPr>
          <w:p w14:paraId="0EE2A846" w14:textId="1CC55E79" w:rsidR="006F3FE0" w:rsidRPr="00664B7D" w:rsidRDefault="006F3FE0" w:rsidP="00510CB3">
            <w:pPr>
              <w:spacing w:line="240" w:lineRule="auto"/>
              <w:jc w:val="center"/>
              <w:rPr>
                <w:rFonts w:eastAsia="Calibri" w:cs="Calibri"/>
                <w:b/>
                <w:color w:val="FFFFFF"/>
              </w:rPr>
            </w:pPr>
            <w:r w:rsidRPr="00664B7D">
              <w:rPr>
                <w:rFonts w:eastAsia="Calibri" w:cs="Calibri"/>
                <w:b/>
                <w:color w:val="FFFFFF"/>
              </w:rPr>
              <w:t>8.</w:t>
            </w:r>
          </w:p>
        </w:tc>
        <w:tc>
          <w:tcPr>
            <w:tcW w:w="7655" w:type="dxa"/>
            <w:shd w:val="clear" w:color="auto" w:fill="FFFFFF"/>
            <w:vAlign w:val="center"/>
          </w:tcPr>
          <w:p w14:paraId="285E44D2" w14:textId="77777777" w:rsidR="006F3FE0" w:rsidRPr="00664B7D" w:rsidRDefault="006F3FE0" w:rsidP="00510CB3">
            <w:pPr>
              <w:spacing w:line="240" w:lineRule="auto"/>
              <w:rPr>
                <w:rFonts w:eastAsia="Calibri" w:cs="Calibri"/>
              </w:rPr>
            </w:pPr>
            <w:r w:rsidRPr="00664B7D">
              <w:rPr>
                <w:rFonts w:eastAsia="Calibri" w:cs="Calibri"/>
              </w:rPr>
              <w:t>Liczba objętych wsparciem podmiotów administracji publicznej lub służb publicznych na szczeblu krajowym, regionalnym lub lokalnym (podmioty)</w:t>
            </w:r>
          </w:p>
        </w:tc>
      </w:tr>
      <w:tr w:rsidR="006F3FE0" w:rsidRPr="00664B7D" w14:paraId="6D0BDFC6" w14:textId="77777777" w:rsidTr="00510CB3">
        <w:trPr>
          <w:trHeight w:val="555"/>
        </w:trPr>
        <w:tc>
          <w:tcPr>
            <w:tcW w:w="704" w:type="dxa"/>
            <w:shd w:val="clear" w:color="auto" w:fill="4472C4"/>
            <w:vAlign w:val="center"/>
          </w:tcPr>
          <w:p w14:paraId="12A647A6" w14:textId="77777777" w:rsidR="006F3FE0" w:rsidRPr="00664B7D" w:rsidRDefault="006F3FE0" w:rsidP="00510CB3">
            <w:pPr>
              <w:spacing w:line="240" w:lineRule="auto"/>
              <w:jc w:val="center"/>
              <w:rPr>
                <w:rFonts w:eastAsia="Calibri" w:cs="Calibri"/>
                <w:b/>
                <w:color w:val="FFFFFF"/>
              </w:rPr>
            </w:pPr>
          </w:p>
        </w:tc>
        <w:tc>
          <w:tcPr>
            <w:tcW w:w="7655" w:type="dxa"/>
            <w:shd w:val="clear" w:color="auto" w:fill="4472C4"/>
            <w:vAlign w:val="center"/>
          </w:tcPr>
          <w:p w14:paraId="10176860" w14:textId="4DFDE98D" w:rsidR="006F3FE0" w:rsidRPr="00664B7D" w:rsidRDefault="00964C38" w:rsidP="00510CB3">
            <w:pPr>
              <w:spacing w:line="240" w:lineRule="auto"/>
              <w:jc w:val="center"/>
              <w:rPr>
                <w:rFonts w:eastAsia="Calibri" w:cs="Calibri"/>
                <w:b/>
              </w:rPr>
            </w:pPr>
            <w:r>
              <w:rPr>
                <w:rFonts w:eastAsia="Calibri" w:cs="Calibri"/>
                <w:b/>
                <w:color w:val="FFFFFF"/>
              </w:rPr>
              <w:t xml:space="preserve">IV </w:t>
            </w:r>
            <w:r w:rsidR="006F3FE0" w:rsidRPr="00664B7D">
              <w:rPr>
                <w:rFonts w:eastAsia="Calibri" w:cs="Calibri"/>
                <w:b/>
                <w:color w:val="FFFFFF"/>
              </w:rPr>
              <w:t>Wskaźniki specyficzne dla projektu</w:t>
            </w:r>
          </w:p>
        </w:tc>
      </w:tr>
    </w:tbl>
    <w:p w14:paraId="2C781841" w14:textId="77777777" w:rsidR="0068041B" w:rsidRPr="00664B7D" w:rsidRDefault="0068041B" w:rsidP="001C3CAC">
      <w:pPr>
        <w:spacing w:line="259" w:lineRule="auto"/>
        <w:rPr>
          <w:rFonts w:cs="Arial"/>
          <w:b/>
          <w:sz w:val="24"/>
          <w:szCs w:val="24"/>
        </w:rPr>
      </w:pPr>
    </w:p>
    <w:p w14:paraId="1647512E" w14:textId="77777777" w:rsidR="00D62EB7" w:rsidRPr="00664B7D" w:rsidRDefault="00D62EB7" w:rsidP="001C3CAC">
      <w:pPr>
        <w:rPr>
          <w:rFonts w:cstheme="minorHAnsi"/>
        </w:rPr>
      </w:pPr>
      <w:r w:rsidRPr="00664B7D">
        <w:rPr>
          <w:rFonts w:cstheme="minorHAnsi"/>
          <w:b/>
        </w:rPr>
        <w:t xml:space="preserve">Wskaźniki </w:t>
      </w:r>
      <w:r w:rsidRPr="00664B7D">
        <w:rPr>
          <w:rFonts w:cstheme="minorHAnsi"/>
        </w:rPr>
        <w:t>są głównym narzędziem służącym do monitorowania postępu w realizacji założonych działań i celów projektu. Wskaźniki odnoszą się zarówno do produktów, jak i rezultatów.</w:t>
      </w:r>
    </w:p>
    <w:p w14:paraId="490203D6" w14:textId="77777777" w:rsidR="00D62EB7" w:rsidRPr="00664B7D" w:rsidRDefault="00D62EB7" w:rsidP="001C3CAC">
      <w:pPr>
        <w:rPr>
          <w:rFonts w:cstheme="minorHAnsi"/>
        </w:rPr>
      </w:pPr>
      <w:r w:rsidRPr="00664B7D">
        <w:rPr>
          <w:rFonts w:cstheme="minorHAnsi"/>
          <w:b/>
        </w:rPr>
        <w:t>Główną funkcją wskaźników</w:t>
      </w:r>
      <w:r w:rsidRPr="00664B7D">
        <w:rPr>
          <w:rFonts w:cstheme="minorHAnsi"/>
        </w:rPr>
        <w:t xml:space="preserve"> jest zmierzenie, na ile cel projektu został zrealizowany, tj. kiedy można uznać, że zidentyfikowany problem został rozwiązany, a projekt zakończył się sukcesem.</w:t>
      </w:r>
      <w:r w:rsidRPr="00664B7D">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6D5A166F" w14:textId="77777777" w:rsidR="00D62EB7" w:rsidRPr="00664B7D" w:rsidRDefault="00D62EB7" w:rsidP="001C3CAC">
      <w:pPr>
        <w:rPr>
          <w:rFonts w:cstheme="minorHAnsi"/>
        </w:rPr>
      </w:pPr>
      <w:r w:rsidRPr="00664B7D">
        <w:rPr>
          <w:rFonts w:cstheme="minorHAnsi"/>
          <w:b/>
        </w:rPr>
        <w:t>Wskaźniki produktu</w:t>
      </w:r>
      <w:r w:rsidRPr="00664B7D">
        <w:rPr>
          <w:rFonts w:cstheme="minorHAnsi"/>
        </w:rPr>
        <w:t xml:space="preserve"> mierzą wielkość i pokazują charakter oferowanego wsparcia lub grupę docelową objętą wsparciem w projekcie. Produkt stanowi wszystko, co zostało uzyskane w 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41B9D88" w14:textId="77777777" w:rsidR="00D62EB7" w:rsidRPr="00664B7D" w:rsidRDefault="00D62EB7" w:rsidP="001C3CAC">
      <w:pPr>
        <w:rPr>
          <w:rFonts w:cstheme="minorHAnsi"/>
        </w:rPr>
      </w:pPr>
      <w:r w:rsidRPr="00664B7D">
        <w:rPr>
          <w:rFonts w:cstheme="minorHAnsi"/>
          <w:b/>
        </w:rPr>
        <w:t>Wskaźniki rezultatu bezpośredniego</w:t>
      </w:r>
      <w:r w:rsidRPr="00664B7D">
        <w:rPr>
          <w:rFonts w:cstheme="minorHAnsi"/>
        </w:rPr>
        <w:t xml:space="preserve"> dotyczą oczekiwanych efektów działań współfinansowanych z EFS+. W odniesieniu do osób lub podmiotów, określają efekt w postaci zmiany sytuacji w momencie pomiaru w stosunku do sytuacji w momencie rozpoczęcia udziału w projekcie, np. w odniesieniu do nabycia nowych kwalifikacji. Wskaźnik </w:t>
      </w:r>
      <w:r w:rsidRPr="00664B7D">
        <w:rPr>
          <w:rFonts w:cstheme="minorHAnsi"/>
        </w:rPr>
        <w:lastRenderedPageBreak/>
        <w:t xml:space="preserve">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 wskazuje innego okresu. Dane dotyczące sytuacji uczestnika po upływie 4 tygodni od zakończenia udziału w projekcie nie mogą być uwzględniane we wskaźnikach rezultatu bezpośredniego. </w:t>
      </w:r>
      <w:r w:rsidR="00717BF3" w:rsidRPr="00664B7D">
        <w:rPr>
          <w:rFonts w:cstheme="minorHAnsi"/>
        </w:rPr>
        <w:br/>
      </w:r>
      <w:r w:rsidRPr="00664B7D">
        <w:rPr>
          <w:rFonts w:cstheme="minorHAnsi"/>
        </w:rPr>
        <w:t>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4AB98CCE" w14:textId="77777777" w:rsidR="006F3FE0" w:rsidRPr="00664B7D" w:rsidRDefault="00D62EB7" w:rsidP="006F3FE0">
      <w:r w:rsidRPr="00664B7D">
        <w:rPr>
          <w:rFonts w:cstheme="minorHAnsi"/>
          <w:b/>
        </w:rPr>
        <w:t>Monitorowanie uczestników</w:t>
      </w:r>
      <w:r w:rsidRPr="00664B7D">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 chwili przystąpienia do projektu, data przystąpienia do projektu i zakończenia udziału, forma wsparcia) oraz status uczestnika projektu po zakończeniu udziału w projekcie obejmujący efekty wsparcia monitorowane we wskaźnikach rezultatu. </w:t>
      </w:r>
      <w:r w:rsidRPr="00664B7D">
        <w:t>Wskaźniki stanowią część projektu. Na poziomie wniosku o dofinansowanie, Wnioskodawca zobowiązany jest wykazać wskaźniki wskazane w Regulaminie wyboru projektów. Wszystkim wskaźnikom uwzględnionym w projekcie należy przypisać wartości docelowe</w:t>
      </w:r>
      <w:r w:rsidR="006F3FE0" w:rsidRPr="00664B7D">
        <w:t>, przy czym dla wskaźników o charakterze informacyjnym, wartość ta może wynosić 0.</w:t>
      </w:r>
    </w:p>
    <w:p w14:paraId="0AF9C946" w14:textId="082C7BE4" w:rsidR="005E73E2" w:rsidRPr="00664B7D" w:rsidRDefault="00964C38" w:rsidP="00964C38">
      <w:pPr>
        <w:spacing w:after="120"/>
        <w:contextualSpacing/>
        <w:jc w:val="both"/>
        <w:rPr>
          <w:rFonts w:cs="Arial"/>
        </w:rPr>
      </w:pPr>
      <w:r w:rsidRPr="00964C38">
        <w:rPr>
          <w:rFonts w:cs="Arial"/>
          <w:b/>
        </w:rPr>
        <w:t>I</w:t>
      </w:r>
      <w:r>
        <w:rPr>
          <w:rFonts w:cs="Arial"/>
        </w:rPr>
        <w:t xml:space="preserve"> </w:t>
      </w:r>
      <w:r w:rsidR="006F3FE0" w:rsidRPr="00664B7D">
        <w:rPr>
          <w:rFonts w:cs="Arial"/>
          <w:b/>
        </w:rPr>
        <w:t>Wskaźniki rezultatu bezpośredniego</w:t>
      </w:r>
    </w:p>
    <w:p w14:paraId="3CD95537" w14:textId="77777777" w:rsidR="008E4E85" w:rsidRPr="00664B7D" w:rsidRDefault="008E4E85" w:rsidP="008E4E85">
      <w:pPr>
        <w:spacing w:after="120"/>
        <w:ind w:left="1077"/>
        <w:contextualSpacing/>
        <w:jc w:val="both"/>
        <w:rPr>
          <w:rFonts w:cs="Arial"/>
        </w:rPr>
      </w:pPr>
    </w:p>
    <w:p w14:paraId="70A5B7BF" w14:textId="774D85A9" w:rsidR="006F3FE0" w:rsidRPr="00664B7D" w:rsidRDefault="006F3FE0" w:rsidP="00F15960">
      <w:pPr>
        <w:numPr>
          <w:ilvl w:val="0"/>
          <w:numId w:val="48"/>
        </w:numPr>
        <w:spacing w:before="120" w:after="0"/>
        <w:ind w:left="426" w:hanging="426"/>
        <w:contextualSpacing/>
        <w:rPr>
          <w:rFonts w:cs="Arial"/>
          <w:b/>
        </w:rPr>
      </w:pPr>
      <w:r w:rsidRPr="00664B7D">
        <w:rPr>
          <w:rFonts w:cs="Arial"/>
          <w:b/>
        </w:rPr>
        <w:t xml:space="preserve">Liczba organizacji społeczeństwa obywatelskiego, które zwiększyły swój </w:t>
      </w:r>
      <w:r w:rsidR="009332B5" w:rsidRPr="00664B7D">
        <w:rPr>
          <w:rFonts w:cs="Arial"/>
          <w:b/>
        </w:rPr>
        <w:t xml:space="preserve"> </w:t>
      </w:r>
      <w:r w:rsidR="000875D6" w:rsidRPr="00664B7D">
        <w:rPr>
          <w:rFonts w:cs="Arial"/>
          <w:b/>
        </w:rPr>
        <w:t xml:space="preserve"> </w:t>
      </w:r>
      <w:r w:rsidRPr="00664B7D">
        <w:rPr>
          <w:rFonts w:cs="Arial"/>
          <w:b/>
        </w:rPr>
        <w:t>potencjał organizacyjny w co najmniej jednym z następujących obszarów: standardy i procedury zarządzania, refleksyjność, wydolność finansowa, rzecznictwo, jakość usług, współpraca międzysektorowa (podmioty</w:t>
      </w:r>
      <w:r w:rsidR="00806B17" w:rsidRPr="00664B7D">
        <w:rPr>
          <w:rFonts w:cs="Arial"/>
          <w:b/>
        </w:rPr>
        <w:t xml:space="preserve"> </w:t>
      </w:r>
      <w:r w:rsidR="00FD444D" w:rsidRPr="00664B7D">
        <w:rPr>
          <w:rFonts w:cs="Arial"/>
          <w:b/>
        </w:rPr>
        <w:t xml:space="preserve">- </w:t>
      </w:r>
      <w:r w:rsidR="00806B17" w:rsidRPr="00664B7D">
        <w:rPr>
          <w:rFonts w:cs="Arial"/>
          <w:b/>
        </w:rPr>
        <w:t>PL0CR01)</w:t>
      </w:r>
    </w:p>
    <w:p w14:paraId="463B65CB" w14:textId="7B2787FB" w:rsidR="000875D6" w:rsidRPr="00664B7D" w:rsidRDefault="000875D6" w:rsidP="0077300C">
      <w:pPr>
        <w:spacing w:before="120" w:after="0"/>
        <w:ind w:left="426"/>
        <w:contextualSpacing/>
        <w:rPr>
          <w:rFonts w:cs="Arial"/>
          <w:bCs/>
        </w:rPr>
      </w:pPr>
      <w:r w:rsidRPr="00664B7D">
        <w:rPr>
          <w:rFonts w:cs="Arial"/>
          <w:bCs/>
        </w:rPr>
        <w:t>Definicja organizacji społeczeństwa obywatelskiego zgodnie ze wskaźnikiem PL0CO05.</w:t>
      </w:r>
    </w:p>
    <w:p w14:paraId="3C922997" w14:textId="38228428" w:rsidR="000875D6" w:rsidRPr="00664B7D" w:rsidRDefault="000875D6" w:rsidP="0077300C">
      <w:pPr>
        <w:spacing w:before="120" w:after="0"/>
        <w:ind w:left="426"/>
        <w:contextualSpacing/>
        <w:rPr>
          <w:rFonts w:cs="Arial"/>
          <w:bCs/>
        </w:rPr>
      </w:pPr>
      <w:r w:rsidRPr="00664B7D">
        <w:rPr>
          <w:rFonts w:cs="Arial"/>
          <w:bCs/>
        </w:rPr>
        <w:t xml:space="preserve">Wskaźnik mierzy liczbę organizacji społeczeństwa obywatelskiego, zgodnie z definicją ze wskaźnika PL0CO05, które zwiększyły swój potencjał organizacyjny w co najmniej jednym z obszarów wskazanych we wskaźniku. Jako zwiększenie potencjału rozumie się </w:t>
      </w:r>
      <w:r w:rsidRPr="00664B7D">
        <w:rPr>
          <w:rFonts w:cs="Arial"/>
          <w:bCs/>
        </w:rPr>
        <w:lastRenderedPageBreak/>
        <w:t xml:space="preserve">zweryfikowaną poprawę aspektów wskazanych we wskaźniku względem danej organizacji. </w:t>
      </w:r>
    </w:p>
    <w:p w14:paraId="75FD93AD" w14:textId="78A6E748" w:rsidR="006F3FE0" w:rsidRPr="00664B7D" w:rsidRDefault="000875D6" w:rsidP="0077300C">
      <w:pPr>
        <w:spacing w:after="120"/>
        <w:ind w:left="426"/>
        <w:contextualSpacing/>
        <w:rPr>
          <w:rFonts w:cs="Arial"/>
          <w:bCs/>
        </w:rPr>
      </w:pPr>
      <w:r w:rsidRPr="00664B7D">
        <w:rPr>
          <w:rFonts w:cs="Arial"/>
          <w:bCs/>
        </w:rPr>
        <w:t xml:space="preserve">Wskaźnik mierzony w ciągu 4 tygodni od zakończenia udziału w projekcie. </w:t>
      </w:r>
    </w:p>
    <w:p w14:paraId="3603C039" w14:textId="77777777" w:rsidR="008E4E85" w:rsidRPr="00664B7D" w:rsidRDefault="008E4E85" w:rsidP="00221D4E">
      <w:pPr>
        <w:spacing w:after="120"/>
        <w:ind w:left="426" w:hanging="426"/>
        <w:contextualSpacing/>
        <w:rPr>
          <w:rFonts w:cs="Arial"/>
          <w:bCs/>
        </w:rPr>
      </w:pPr>
    </w:p>
    <w:p w14:paraId="41D018C8" w14:textId="61D13D57" w:rsidR="006F3FE0" w:rsidRPr="00664B7D" w:rsidRDefault="006F3FE0" w:rsidP="00F15960">
      <w:pPr>
        <w:pStyle w:val="Akapitzlist"/>
        <w:numPr>
          <w:ilvl w:val="0"/>
          <w:numId w:val="48"/>
        </w:numPr>
        <w:spacing w:after="0"/>
        <w:ind w:left="426" w:hanging="426"/>
        <w:rPr>
          <w:rFonts w:cs="Arial"/>
          <w:b/>
        </w:rPr>
      </w:pPr>
      <w:r w:rsidRPr="00664B7D">
        <w:rPr>
          <w:rFonts w:cs="Arial"/>
          <w:b/>
        </w:rPr>
        <w:t>Liczba organizacji społeczeństwa obywatelskiego, które poprawiły lub wprowadziły nowe metody działania lub rodzaje usług (podmioty</w:t>
      </w:r>
      <w:r w:rsidR="00806B17" w:rsidRPr="00664B7D">
        <w:rPr>
          <w:rFonts w:cs="Arial"/>
          <w:b/>
        </w:rPr>
        <w:t xml:space="preserve"> - </w:t>
      </w:r>
      <w:r w:rsidR="00806B17" w:rsidRPr="00664B7D">
        <w:rPr>
          <w:rFonts w:cs="Arial"/>
          <w:b/>
          <w:bCs/>
        </w:rPr>
        <w:t>PL0CR02</w:t>
      </w:r>
      <w:r w:rsidRPr="00664B7D">
        <w:rPr>
          <w:rFonts w:cs="Arial"/>
          <w:b/>
        </w:rPr>
        <w:t>)</w:t>
      </w:r>
    </w:p>
    <w:p w14:paraId="528889C1" w14:textId="3BC04DC9" w:rsidR="00581CB1" w:rsidRPr="00664B7D" w:rsidRDefault="00581CB1" w:rsidP="0077300C">
      <w:pPr>
        <w:pStyle w:val="Akapitzlist"/>
        <w:spacing w:after="0"/>
        <w:ind w:left="426"/>
        <w:rPr>
          <w:rFonts w:cs="Arial"/>
          <w:bCs/>
        </w:rPr>
      </w:pPr>
      <w:bookmarkStart w:id="25" w:name="_Hlk135810190"/>
      <w:r w:rsidRPr="00664B7D">
        <w:rPr>
          <w:rFonts w:cs="Arial"/>
          <w:bCs/>
        </w:rPr>
        <w:t>Wskaźnik mierzy liczbę organizacji społeczeństwa obywatelskiego, wykazanych we wskaźniku PL0CO06, które poprawiły lub wprowadziły nowe metody działania. Jako poprawę lub wprowadzenie nowych metod rozumie się faktyczne ich wdrożenie do działań organizacji.</w:t>
      </w:r>
    </w:p>
    <w:p w14:paraId="108FFC16" w14:textId="48F22957" w:rsidR="006F3FE0" w:rsidRPr="00664B7D" w:rsidRDefault="00581CB1" w:rsidP="0077300C">
      <w:pPr>
        <w:spacing w:after="120"/>
        <w:ind w:left="426"/>
        <w:contextualSpacing/>
        <w:rPr>
          <w:rFonts w:cs="Arial"/>
          <w:bCs/>
        </w:rPr>
      </w:pPr>
      <w:r w:rsidRPr="00664B7D">
        <w:rPr>
          <w:rFonts w:cs="Arial"/>
          <w:bCs/>
        </w:rPr>
        <w:t xml:space="preserve">Wskaźnik mierzony w ciągu 4 tygodni od zakończenia udziału w projekcie. </w:t>
      </w:r>
    </w:p>
    <w:p w14:paraId="0D28D842" w14:textId="77777777" w:rsidR="008E4E85" w:rsidRPr="00664B7D" w:rsidRDefault="008E4E85" w:rsidP="00221D4E">
      <w:pPr>
        <w:spacing w:after="120"/>
        <w:ind w:left="426" w:hanging="426"/>
        <w:contextualSpacing/>
        <w:rPr>
          <w:rFonts w:cs="Arial"/>
          <w:bCs/>
        </w:rPr>
      </w:pPr>
    </w:p>
    <w:bookmarkEnd w:id="25"/>
    <w:p w14:paraId="7EC683AC" w14:textId="162A3BD9" w:rsidR="006F3FE0" w:rsidRPr="00664B7D" w:rsidRDefault="006F3FE0" w:rsidP="00F15960">
      <w:pPr>
        <w:pStyle w:val="Akapitzlist"/>
        <w:numPr>
          <w:ilvl w:val="0"/>
          <w:numId w:val="48"/>
        </w:numPr>
        <w:spacing w:after="0"/>
        <w:ind w:left="426" w:hanging="426"/>
        <w:rPr>
          <w:rFonts w:cs="Arial"/>
          <w:b/>
        </w:rPr>
      </w:pPr>
      <w:r w:rsidRPr="00664B7D">
        <w:rPr>
          <w:rFonts w:cs="Arial"/>
          <w:b/>
        </w:rPr>
        <w:t>Liczba przedstawicieli organizacji społeczeństwa obywatelskiego, którzy zdobyli nowe umiejętności, wiedzę lub uzyskali kwalifikacje (osoby</w:t>
      </w:r>
      <w:r w:rsidR="00806B17" w:rsidRPr="00664B7D">
        <w:rPr>
          <w:rFonts w:cs="Arial"/>
          <w:b/>
        </w:rPr>
        <w:t xml:space="preserve"> - PL0CR03</w:t>
      </w:r>
      <w:r w:rsidRPr="00664B7D">
        <w:rPr>
          <w:rFonts w:cs="Arial"/>
          <w:b/>
        </w:rPr>
        <w:t>)</w:t>
      </w:r>
    </w:p>
    <w:p w14:paraId="645E781F" w14:textId="77777777" w:rsidR="00581CB1" w:rsidRPr="00664B7D" w:rsidRDefault="00581CB1" w:rsidP="0077300C">
      <w:pPr>
        <w:pStyle w:val="Akapitzlist"/>
        <w:spacing w:after="0"/>
        <w:ind w:left="426"/>
        <w:rPr>
          <w:rFonts w:cs="Arial"/>
        </w:rPr>
      </w:pPr>
      <w:r w:rsidRPr="00664B7D">
        <w:rPr>
          <w:rFonts w:cs="Arial"/>
        </w:rPr>
        <w:t xml:space="preserve">Definicja organizacji społeczeństwa obywatelskiego zgodnie ze wskaźnikiem PL0CO05. Wskaźnik mierzy liczbę osób, wykazanych we wskaźniku PL0CO07, które zdobyły nowe umiejętności, wiedzę lub uzyskały kwalifikacje w wyniku udziału w projekcie. </w:t>
      </w:r>
    </w:p>
    <w:p w14:paraId="0BA1BBD1" w14:textId="77777777" w:rsidR="00581CB1" w:rsidRPr="00664B7D" w:rsidRDefault="00581CB1" w:rsidP="0077300C">
      <w:pPr>
        <w:pStyle w:val="Akapitzlist"/>
        <w:spacing w:after="0"/>
        <w:ind w:left="426"/>
        <w:rPr>
          <w:rFonts w:cs="Arial"/>
        </w:rPr>
      </w:pPr>
      <w:r w:rsidRPr="00664B7D">
        <w:rPr>
          <w:rFonts w:cs="Arial"/>
        </w:rPr>
        <w:t>Pomiar kwalifikacji jak we wskaźniku wspólnym dot. kwalifikacji.</w:t>
      </w:r>
    </w:p>
    <w:p w14:paraId="5E38FBA8" w14:textId="77777777" w:rsidR="00581CB1" w:rsidRPr="00664B7D" w:rsidRDefault="00581CB1" w:rsidP="0077300C">
      <w:pPr>
        <w:pStyle w:val="Akapitzlist"/>
        <w:ind w:left="426"/>
        <w:rPr>
          <w:rFonts w:cs="Arial"/>
        </w:rPr>
      </w:pPr>
      <w:r w:rsidRPr="00664B7D">
        <w:rPr>
          <w:rFonts w:cs="Arial"/>
        </w:rPr>
        <w:t xml:space="preserve">Pomiar umiejętności i wiedzy za pomocą testu przed rozpoczęciem projektu i po zakończonym udziale w projekcie. </w:t>
      </w:r>
    </w:p>
    <w:p w14:paraId="5B1943AC" w14:textId="2344AB79" w:rsidR="008E4E85" w:rsidRDefault="00581CB1" w:rsidP="00964C38">
      <w:pPr>
        <w:pStyle w:val="Akapitzlist"/>
        <w:ind w:left="426"/>
        <w:rPr>
          <w:rFonts w:cs="Arial"/>
        </w:rPr>
      </w:pPr>
      <w:r w:rsidRPr="00664B7D">
        <w:rPr>
          <w:rFonts w:cs="Arial"/>
        </w:rPr>
        <w:t>Wskaźnik mierzony w ciągu 4 tygodni od zakończenia udziału w projekcie.</w:t>
      </w:r>
    </w:p>
    <w:p w14:paraId="1C7303CC" w14:textId="77777777" w:rsidR="00964C38" w:rsidRPr="00964C38" w:rsidRDefault="00964C38" w:rsidP="00964C38">
      <w:pPr>
        <w:pStyle w:val="Akapitzlist"/>
        <w:ind w:left="426"/>
        <w:rPr>
          <w:rFonts w:cs="Arial"/>
        </w:rPr>
      </w:pPr>
    </w:p>
    <w:p w14:paraId="00B3C5A5" w14:textId="6D46A642" w:rsidR="006F3FE0" w:rsidRPr="00664B7D" w:rsidRDefault="006F3FE0" w:rsidP="00F15960">
      <w:pPr>
        <w:pStyle w:val="Akapitzlist"/>
        <w:numPr>
          <w:ilvl w:val="0"/>
          <w:numId w:val="48"/>
        </w:numPr>
        <w:spacing w:after="0"/>
        <w:ind w:left="426" w:hanging="426"/>
        <w:rPr>
          <w:rFonts w:eastAsia="Calibri" w:cs="Arial"/>
          <w:b/>
        </w:rPr>
      </w:pPr>
      <w:r w:rsidRPr="00664B7D">
        <w:rPr>
          <w:rFonts w:eastAsia="Calibri" w:cs="Arial"/>
          <w:b/>
        </w:rPr>
        <w:t>Liczba organizacji partnerów społecznych, które zwiększyły swój potencjał (podmioty</w:t>
      </w:r>
      <w:r w:rsidR="00806B17" w:rsidRPr="00664B7D">
        <w:rPr>
          <w:rFonts w:eastAsia="Calibri" w:cs="Arial"/>
          <w:b/>
        </w:rPr>
        <w:t xml:space="preserve"> - PL0CR04</w:t>
      </w:r>
      <w:r w:rsidRPr="00664B7D">
        <w:rPr>
          <w:rFonts w:eastAsia="Calibri" w:cs="Arial"/>
          <w:b/>
        </w:rPr>
        <w:t>)</w:t>
      </w:r>
    </w:p>
    <w:p w14:paraId="4857911A" w14:textId="77777777" w:rsidR="00581CB1" w:rsidRPr="00664B7D" w:rsidRDefault="00581CB1" w:rsidP="00964C38">
      <w:pPr>
        <w:spacing w:after="0"/>
        <w:ind w:left="425"/>
        <w:rPr>
          <w:rFonts w:eastAsia="Arial" w:cs="Arial"/>
        </w:rPr>
      </w:pPr>
      <w:r w:rsidRPr="00664B7D">
        <w:rPr>
          <w:rFonts w:eastAsia="Arial" w:cs="Arial"/>
        </w:rPr>
        <w:t>Do wskaźnika będą liczone organizacje partnerów społecznych, wykazane we wskaźniku produktu PL0CO08, które w wyniku udzielonego wsparcia wzmocniły swoje zdolności do realizacji działań statutowych, zgodnie z założeniami określonymi we wniosku o dofinansowanie.</w:t>
      </w:r>
    </w:p>
    <w:p w14:paraId="7D01AF8E" w14:textId="6B9F5796" w:rsidR="008E4E85" w:rsidRDefault="00581CB1" w:rsidP="00964C38">
      <w:pPr>
        <w:spacing w:after="0"/>
        <w:ind w:left="425"/>
        <w:rPr>
          <w:rFonts w:eastAsia="Arial" w:cs="Arial"/>
        </w:rPr>
      </w:pPr>
      <w:r w:rsidRPr="00664B7D">
        <w:rPr>
          <w:rFonts w:eastAsia="Arial" w:cs="Arial"/>
        </w:rPr>
        <w:t>Wskaźnik mierzony w ciągu 4 tygodni od zakończenia udziału w projekcie.</w:t>
      </w:r>
    </w:p>
    <w:p w14:paraId="5AF00DC0" w14:textId="77777777" w:rsidR="00964C38" w:rsidRPr="00964C38" w:rsidRDefault="00964C38" w:rsidP="00964C38">
      <w:pPr>
        <w:spacing w:after="0"/>
        <w:ind w:left="425"/>
        <w:rPr>
          <w:rFonts w:eastAsia="Arial" w:cs="Arial"/>
        </w:rPr>
      </w:pPr>
    </w:p>
    <w:p w14:paraId="4CDC022D" w14:textId="4A65152E" w:rsidR="006F3FE0" w:rsidRPr="00664B7D" w:rsidRDefault="006F3FE0" w:rsidP="00F15960">
      <w:pPr>
        <w:pStyle w:val="Akapitzlist"/>
        <w:numPr>
          <w:ilvl w:val="0"/>
          <w:numId w:val="48"/>
        </w:numPr>
        <w:spacing w:after="0"/>
        <w:ind w:left="425" w:hanging="426"/>
        <w:rPr>
          <w:rFonts w:cs="Arial"/>
          <w:b/>
        </w:rPr>
      </w:pPr>
      <w:r w:rsidRPr="00664B7D">
        <w:rPr>
          <w:rFonts w:cs="Arial"/>
          <w:b/>
        </w:rPr>
        <w:t>Liczba przedstawicieli organizacji partnerów społecznych, którzy podnieśli kompetencje (osoby</w:t>
      </w:r>
      <w:r w:rsidR="00806B17" w:rsidRPr="00664B7D">
        <w:rPr>
          <w:rFonts w:cs="Arial"/>
          <w:b/>
        </w:rPr>
        <w:t>- PL0CR05</w:t>
      </w:r>
      <w:r w:rsidRPr="00664B7D">
        <w:rPr>
          <w:rFonts w:cs="Arial"/>
          <w:b/>
        </w:rPr>
        <w:t>)</w:t>
      </w:r>
    </w:p>
    <w:p w14:paraId="5EC3A181" w14:textId="77777777" w:rsidR="00581CB1" w:rsidRPr="00664B7D" w:rsidRDefault="00581CB1" w:rsidP="0077300C">
      <w:pPr>
        <w:pStyle w:val="Akapitzlist"/>
        <w:spacing w:after="0"/>
        <w:ind w:left="426"/>
        <w:rPr>
          <w:rFonts w:eastAsia="Calibri" w:cs="Arial"/>
          <w:bCs/>
        </w:rPr>
      </w:pPr>
      <w:r w:rsidRPr="00664B7D">
        <w:rPr>
          <w:rFonts w:eastAsia="Calibri" w:cs="Arial"/>
          <w:bCs/>
        </w:rPr>
        <w:t xml:space="preserve">Wskaźnik obejmuje liczbę przedstawicieli organizacji partnerów społecznych, wykazanych we wskaźniku produktu PL0CO09, którzy zdobyli nowe umiejętności, wiedzę, kompetencje lub uzyskali kwalifikacje w wyniku udziału w projekcie. </w:t>
      </w:r>
    </w:p>
    <w:p w14:paraId="1217BFF0" w14:textId="77777777" w:rsidR="00581CB1" w:rsidRPr="00664B7D" w:rsidRDefault="00581CB1" w:rsidP="0077300C">
      <w:pPr>
        <w:pStyle w:val="Akapitzlist"/>
        <w:spacing w:after="0"/>
        <w:ind w:left="426"/>
        <w:rPr>
          <w:rFonts w:eastAsia="Calibri" w:cs="Arial"/>
          <w:bCs/>
        </w:rPr>
      </w:pPr>
      <w:r w:rsidRPr="00664B7D">
        <w:rPr>
          <w:rFonts w:eastAsia="Calibri" w:cs="Arial"/>
          <w:bCs/>
        </w:rPr>
        <w:lastRenderedPageBreak/>
        <w:t>Pomiar kompetencji i kwalifikacji jak we wskaźniku wspólnym liczba osób, które uzyskały kwalifikacje po opuszczeniu programu (osoby).</w:t>
      </w:r>
    </w:p>
    <w:p w14:paraId="342B0725" w14:textId="77777777" w:rsidR="00581CB1" w:rsidRPr="00664B7D" w:rsidRDefault="00581CB1" w:rsidP="0077300C">
      <w:pPr>
        <w:pStyle w:val="Akapitzlist"/>
        <w:spacing w:after="0"/>
        <w:ind w:left="426"/>
        <w:rPr>
          <w:rFonts w:eastAsia="Calibri" w:cs="Arial"/>
          <w:bCs/>
        </w:rPr>
      </w:pPr>
      <w:r w:rsidRPr="00664E65">
        <w:rPr>
          <w:rFonts w:eastAsia="Calibri" w:cs="Arial"/>
          <w:bCs/>
        </w:rPr>
        <w:t>Pomiar umiejętności i wiedzy za pomocą testu przed rozpoczęciem projektu i po zakończonym udziale w projekcie.</w:t>
      </w:r>
    </w:p>
    <w:p w14:paraId="38F5EC2A" w14:textId="13D9E4B5" w:rsidR="006F3FE0" w:rsidRDefault="00581CB1" w:rsidP="0077300C">
      <w:pPr>
        <w:spacing w:after="120"/>
        <w:ind w:left="426"/>
        <w:rPr>
          <w:rFonts w:eastAsia="Calibri" w:cs="Arial"/>
          <w:bCs/>
        </w:rPr>
      </w:pPr>
      <w:r w:rsidRPr="00664B7D">
        <w:rPr>
          <w:rFonts w:eastAsia="Calibri" w:cs="Arial"/>
          <w:bCs/>
        </w:rPr>
        <w:t>Wskaźnik mierzony w ciągu 4 tygodni od zakończenia udziału w projekcie.</w:t>
      </w:r>
    </w:p>
    <w:p w14:paraId="2927A1B0" w14:textId="515640DF" w:rsidR="00296BBE" w:rsidRDefault="00296BBE" w:rsidP="00F15960">
      <w:pPr>
        <w:pStyle w:val="Akapitzlist"/>
        <w:numPr>
          <w:ilvl w:val="0"/>
          <w:numId w:val="48"/>
        </w:numPr>
        <w:spacing w:after="120"/>
        <w:rPr>
          <w:rFonts w:cs="Arial"/>
          <w:b/>
        </w:rPr>
      </w:pPr>
      <w:r w:rsidRPr="00296BBE">
        <w:rPr>
          <w:rFonts w:cs="Arial"/>
          <w:b/>
        </w:rPr>
        <w:t>Liczba osób, które uzyskały kwalifikacje po opuszczeniu programu (osoby)</w:t>
      </w:r>
    </w:p>
    <w:p w14:paraId="492425E5" w14:textId="77777777" w:rsidR="00296BBE" w:rsidRPr="00296BBE" w:rsidRDefault="00296BBE" w:rsidP="00296BBE">
      <w:pPr>
        <w:pStyle w:val="Akapitzlist"/>
        <w:spacing w:after="120"/>
        <w:ind w:left="360"/>
        <w:rPr>
          <w:rFonts w:cs="Arial"/>
        </w:rPr>
      </w:pPr>
      <w:r w:rsidRPr="00296BBE">
        <w:rPr>
          <w:rFonts w:cs="Arial"/>
        </w:rPr>
        <w:t xml:space="preserve">Do wskaźnika wlicza się osoby, które otrzymały wsparcie EFS+ i uzyskały </w:t>
      </w:r>
      <w:r w:rsidRPr="00296BBE">
        <w:rPr>
          <w:rFonts w:cs="Arial"/>
          <w:b/>
        </w:rPr>
        <w:t>kwalifikacje lub kompetencje</w:t>
      </w:r>
      <w:r w:rsidRPr="00296BBE">
        <w:rPr>
          <w:rFonts w:cs="Arial"/>
        </w:rPr>
        <w:t xml:space="preserve"> po opuszczeniu projektu. </w:t>
      </w:r>
    </w:p>
    <w:p w14:paraId="0ACEADB8" w14:textId="77777777" w:rsidR="00296BBE" w:rsidRPr="00296BBE" w:rsidRDefault="00296BBE" w:rsidP="00296BBE">
      <w:pPr>
        <w:pStyle w:val="Akapitzlist"/>
        <w:spacing w:after="120"/>
        <w:ind w:left="360"/>
        <w:rPr>
          <w:rFonts w:cs="Arial"/>
        </w:rPr>
      </w:pPr>
      <w:r w:rsidRPr="00296BBE">
        <w:rPr>
          <w:rFonts w:cs="Arial"/>
        </w:rPr>
        <w:t xml:space="preserve">Kwalifikacje to określony zestaw efektów uczenia się w zakresie wiedzy, umiejętności oraz kompetencji społecznych nabytych w drodze edukacji formalnej, edukacji </w:t>
      </w:r>
      <w:proofErr w:type="spellStart"/>
      <w:r w:rsidRPr="00296BBE">
        <w:rPr>
          <w:rFonts w:cs="Arial"/>
        </w:rPr>
        <w:t>pozaformalnej</w:t>
      </w:r>
      <w:proofErr w:type="spellEnd"/>
      <w:r w:rsidRPr="00296BBE">
        <w:rPr>
          <w:rFonts w:cs="Arial"/>
        </w:rPr>
        <w:t xml:space="preserve"> lub poprzez uczenie się nieformalne, zgodnych z ustalonymi dla danej kwalifikacji wymaganiami, których osiągnięcie zostało sprawdzone w walidacji oraz formalnie potwierdzone przez instytucję uprawnioną do certyfikowania</w:t>
      </w:r>
    </w:p>
    <w:p w14:paraId="35EB120F" w14:textId="77777777" w:rsidR="00296BBE" w:rsidRPr="00296BBE" w:rsidRDefault="00296BBE" w:rsidP="00296BBE">
      <w:pPr>
        <w:pStyle w:val="Akapitzlist"/>
        <w:spacing w:after="120"/>
        <w:ind w:left="360"/>
        <w:rPr>
          <w:rFonts w:cs="Arial"/>
        </w:rPr>
      </w:pPr>
      <w:r w:rsidRPr="00296BBE">
        <w:rPr>
          <w:rFonts w:cs="Arial"/>
        </w:rPr>
        <w:t xml:space="preserve">Kwalifikacje mogą być nadawane przez: </w:t>
      </w:r>
    </w:p>
    <w:p w14:paraId="1620955B" w14:textId="4B840C15" w:rsidR="00296BBE" w:rsidRPr="00296BBE" w:rsidRDefault="00296BBE" w:rsidP="00F15960">
      <w:pPr>
        <w:pStyle w:val="Akapitzlist"/>
        <w:numPr>
          <w:ilvl w:val="0"/>
          <w:numId w:val="46"/>
        </w:numPr>
        <w:spacing w:after="120"/>
        <w:rPr>
          <w:rFonts w:cs="Arial"/>
        </w:rPr>
      </w:pPr>
      <w:r w:rsidRPr="00296BBE">
        <w:rPr>
          <w:rFonts w:cs="Arial"/>
        </w:rPr>
        <w:t>podmioty uprawnione do realizacji procesów walidacji i certyfikowania zgodnie z ustawą z dnia 22 grudnia 2015 r. o Zintegrowanym Systemie Kwalifikacji,</w:t>
      </w:r>
    </w:p>
    <w:p w14:paraId="7B0E779B" w14:textId="6F0AB360" w:rsidR="00296BBE" w:rsidRPr="00296BBE" w:rsidRDefault="00296BBE" w:rsidP="00F15960">
      <w:pPr>
        <w:pStyle w:val="Akapitzlist"/>
        <w:numPr>
          <w:ilvl w:val="0"/>
          <w:numId w:val="46"/>
        </w:numPr>
        <w:spacing w:after="120"/>
        <w:rPr>
          <w:rFonts w:cs="Arial"/>
        </w:rPr>
      </w:pPr>
      <w:r w:rsidRPr="00296BBE">
        <w:rPr>
          <w:rFonts w:cs="Arial"/>
        </w:rPr>
        <w:t>podmioty uprawnione do realizacji procesów walidacji i certyfikowania na mocy innych przepisów prawa,</w:t>
      </w:r>
    </w:p>
    <w:p w14:paraId="750F744F" w14:textId="54E65BA2" w:rsidR="00296BBE" w:rsidRPr="00296BBE" w:rsidRDefault="00296BBE" w:rsidP="00F15960">
      <w:pPr>
        <w:pStyle w:val="Akapitzlist"/>
        <w:numPr>
          <w:ilvl w:val="0"/>
          <w:numId w:val="46"/>
        </w:numPr>
        <w:spacing w:after="120"/>
        <w:rPr>
          <w:rFonts w:cs="Arial"/>
        </w:rPr>
      </w:pPr>
      <w:r w:rsidRPr="00296BBE">
        <w:rPr>
          <w:rFonts w:cs="Arial"/>
        </w:rPr>
        <w:t>podmioty uprawnione do wydawania dokumentów potwierdzających uzyskanie kwalifikacji, w tym w zawodzie,</w:t>
      </w:r>
    </w:p>
    <w:p w14:paraId="6CEDF667" w14:textId="49581D69" w:rsidR="00296BBE" w:rsidRPr="00296BBE" w:rsidRDefault="00296BBE" w:rsidP="00F15960">
      <w:pPr>
        <w:pStyle w:val="Akapitzlist"/>
        <w:numPr>
          <w:ilvl w:val="0"/>
          <w:numId w:val="46"/>
        </w:numPr>
        <w:spacing w:after="120"/>
        <w:rPr>
          <w:rFonts w:cs="Arial"/>
        </w:rPr>
      </w:pPr>
      <w:r w:rsidRPr="00296BBE">
        <w:rPr>
          <w:rFonts w:cs="Arial"/>
        </w:rPr>
        <w:t>organy władz publicznych lub samorządów zawodowych, uprawnione do wydawania dokumentów potwierdzających kwalifikację na podstawie ustawy lub rozporządzenia.</w:t>
      </w:r>
    </w:p>
    <w:p w14:paraId="0012C96E" w14:textId="3F17768B" w:rsidR="00296BBE" w:rsidRDefault="00296BBE" w:rsidP="00296BBE">
      <w:pPr>
        <w:pStyle w:val="Akapitzlist"/>
        <w:spacing w:after="120"/>
        <w:ind w:left="360"/>
        <w:rPr>
          <w:rFonts w:cs="Arial"/>
        </w:rPr>
      </w:pPr>
      <w:r w:rsidRPr="00296BBE">
        <w:rPr>
          <w:rFonts w:cs="Arial"/>
        </w:rPr>
        <w:t xml:space="preserve">Poza kwalifikacjami włączonymi do Zintegrowanego Systemu Kwalifikacji, można wskazać przykłady innych kwalifikacji, które mają znaczenie w określonych środowiskach działalności społecznej lub zawodowej oraz mają stworzony własny system walidacji </w:t>
      </w:r>
      <w:r w:rsidR="00452BDC">
        <w:rPr>
          <w:rFonts w:cs="Arial"/>
        </w:rPr>
        <w:br/>
      </w:r>
      <w:r w:rsidRPr="00296BBE">
        <w:rPr>
          <w:rFonts w:cs="Arial"/>
        </w:rPr>
        <w:t xml:space="preserve">i certyfikowania. Ponadto, pomimo braku regulacji ze strony państwa polskiego, kwalifikacjami są również certyfikaty, dla których wypracowano już system walidacji </w:t>
      </w:r>
      <w:r w:rsidR="00452BDC">
        <w:rPr>
          <w:rFonts w:cs="Arial"/>
        </w:rPr>
        <w:br/>
      </w:r>
      <w:r w:rsidRPr="00296BBE">
        <w:rPr>
          <w:rFonts w:cs="Arial"/>
        </w:rPr>
        <w:t>i certyfikowania efektów uczenia się na poziomie międzynarodowym.</w:t>
      </w:r>
    </w:p>
    <w:p w14:paraId="509C17D1" w14:textId="77777777" w:rsidR="00296BBE" w:rsidRPr="00296BBE" w:rsidRDefault="00296BBE" w:rsidP="00296BBE">
      <w:pPr>
        <w:pStyle w:val="Akapitzlist"/>
        <w:spacing w:after="120"/>
        <w:ind w:left="360"/>
        <w:rPr>
          <w:rFonts w:cs="Arial"/>
        </w:rPr>
      </w:pPr>
    </w:p>
    <w:p w14:paraId="6BC625C0" w14:textId="707EC6CE" w:rsidR="00296BBE" w:rsidRPr="00296BBE" w:rsidRDefault="00296BBE" w:rsidP="00296BBE">
      <w:pPr>
        <w:pStyle w:val="Akapitzlist"/>
        <w:spacing w:after="120"/>
        <w:ind w:left="360"/>
        <w:rPr>
          <w:rFonts w:cs="Arial"/>
        </w:rPr>
      </w:pPr>
      <w:r w:rsidRPr="00664B7D">
        <w:rPr>
          <w:rFonts w:eastAsia="Calibri"/>
          <w:b/>
          <w:color w:val="2F5496"/>
        </w:rPr>
        <w:t>UWAGA!</w:t>
      </w:r>
      <w:r w:rsidRPr="00664B7D">
        <w:t xml:space="preserve"> </w:t>
      </w:r>
      <w:r w:rsidRPr="00296BBE">
        <w:rPr>
          <w:rFonts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BA317B6" w14:textId="77777777" w:rsidR="00296BBE" w:rsidRPr="00296BBE" w:rsidRDefault="00296BBE" w:rsidP="00296BBE">
      <w:pPr>
        <w:pStyle w:val="Akapitzlist"/>
        <w:spacing w:after="120"/>
        <w:ind w:left="360"/>
        <w:rPr>
          <w:rFonts w:cs="Arial"/>
        </w:rPr>
      </w:pPr>
      <w:r w:rsidRPr="00296BBE">
        <w:rPr>
          <w:rFonts w:cs="Arial"/>
        </w:rPr>
        <w:t xml:space="preserve">Fakt nabycia kompetencji jest weryfikowany w ramach następujących etapów: </w:t>
      </w:r>
    </w:p>
    <w:p w14:paraId="2AD16408" w14:textId="77777777" w:rsidR="00296BBE" w:rsidRPr="00296BBE" w:rsidRDefault="00296BBE" w:rsidP="00296BBE">
      <w:pPr>
        <w:pStyle w:val="Akapitzlist"/>
        <w:spacing w:after="120"/>
        <w:ind w:left="360"/>
        <w:rPr>
          <w:rFonts w:cs="Arial"/>
        </w:rPr>
      </w:pPr>
      <w:r w:rsidRPr="00296BBE">
        <w:rPr>
          <w:rFonts w:cs="Arial"/>
        </w:rPr>
        <w:lastRenderedPageBreak/>
        <w:t>a) ETAP I – Zakres – zdefiniowanie w ramach wniosku o dofinansowanie (w przypadku projektów) lub usługi (w przypadku Podmiotowego Systemu Finansowania) grupy docelowej do objęcia wsparciem oraz zakresu tematycznego wsparcia, który będzie poddany ocenie,</w:t>
      </w:r>
    </w:p>
    <w:p w14:paraId="3DF74240" w14:textId="022B910F" w:rsidR="00296BBE" w:rsidRPr="00296BBE" w:rsidRDefault="00296BBE" w:rsidP="00296BBE">
      <w:pPr>
        <w:pStyle w:val="Akapitzlist"/>
        <w:spacing w:after="120"/>
        <w:ind w:left="360"/>
        <w:rPr>
          <w:rFonts w:cs="Arial"/>
        </w:rPr>
      </w:pPr>
      <w:r w:rsidRPr="00296BBE">
        <w:rPr>
          <w:rFonts w:cs="Arial"/>
        </w:rPr>
        <w:t xml:space="preserve">b) ETAP II – Wzorzec – określony przed rozpoczęciem form wsparcia i zrealizowany </w:t>
      </w:r>
      <w:r w:rsidR="00452BDC">
        <w:rPr>
          <w:rFonts w:cs="Arial"/>
        </w:rPr>
        <w:br/>
      </w:r>
      <w:r w:rsidRPr="00296BBE">
        <w:rPr>
          <w:rFonts w:cs="Arial"/>
        </w:rPr>
        <w:t>w projekcie/usłudze standard wymagań, tj. efektów uczenia się, które osiągną uczestnicy w wyniku przeprowadzonych działań (wraz z informacjami o kryteriach i met</w:t>
      </w:r>
      <w:r>
        <w:rPr>
          <w:rFonts w:cs="Arial"/>
        </w:rPr>
        <w:t>odach weryfikacji tych efektów)</w:t>
      </w:r>
      <w:r w:rsidRPr="00296BBE">
        <w:rPr>
          <w:rFonts w:cs="Arial"/>
        </w:rPr>
        <w:t>,</w:t>
      </w:r>
    </w:p>
    <w:p w14:paraId="51B565B2" w14:textId="5C68A8C4" w:rsidR="00296BBE" w:rsidRPr="00296BBE" w:rsidRDefault="00296BBE" w:rsidP="00296BBE">
      <w:pPr>
        <w:pStyle w:val="Akapitzlist"/>
        <w:spacing w:after="120"/>
        <w:ind w:left="360"/>
        <w:rPr>
          <w:rFonts w:cs="Arial"/>
        </w:rPr>
      </w:pPr>
      <w:r w:rsidRPr="00296BBE">
        <w:rPr>
          <w:rFonts w:cs="Arial"/>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t>
      </w:r>
      <w:r w:rsidR="00452BDC">
        <w:rPr>
          <w:rFonts w:cs="Arial"/>
        </w:rPr>
        <w:br/>
      </w:r>
      <w:r w:rsidRPr="00296BBE">
        <w:rPr>
          <w:rFonts w:cs="Arial"/>
        </w:rPr>
        <w:t xml:space="preserve">w jednej instytucji szkoleniowej proces walidacji jest prowadzony przez inną osobę aniżeli proces kształcenia), </w:t>
      </w:r>
    </w:p>
    <w:p w14:paraId="370B2C57" w14:textId="6953FD0E" w:rsidR="00296BBE" w:rsidRPr="00296BBE" w:rsidRDefault="00296BBE" w:rsidP="00296BBE">
      <w:pPr>
        <w:pStyle w:val="Akapitzlist"/>
        <w:spacing w:after="120"/>
        <w:ind w:left="360"/>
        <w:rPr>
          <w:rFonts w:cs="Arial"/>
        </w:rPr>
      </w:pPr>
      <w:r w:rsidRPr="00296BBE">
        <w:rPr>
          <w:rFonts w:cs="Arial"/>
        </w:rPr>
        <w:t xml:space="preserve">d) ETAP IV – Porównanie – porównanie uzyskanych wyników etapu III (ocena) </w:t>
      </w:r>
      <w:r w:rsidR="00452BDC">
        <w:rPr>
          <w:rFonts w:cs="Arial"/>
        </w:rPr>
        <w:br/>
      </w:r>
      <w:r w:rsidRPr="00296BBE">
        <w:rPr>
          <w:rFonts w:cs="Arial"/>
        </w:rPr>
        <w:t xml:space="preserve">z przyjętymi wymaganiami (określonymi na etapie II efektami uczenia się) </w:t>
      </w:r>
      <w:r w:rsidR="00452BDC">
        <w:rPr>
          <w:rFonts w:cs="Arial"/>
        </w:rPr>
        <w:br/>
      </w:r>
      <w:r w:rsidRPr="00296BBE">
        <w:rPr>
          <w:rFonts w:cs="Arial"/>
        </w:rPr>
        <w:t xml:space="preserve">po zakończeniu wsparcia udzielanego danej osobie. Nabycie kompetencji potwierdzone jest uzyskaniem dokumentu zawierającego wyszczególnione efekty uczenia się odnoszące się do nabytej kompetencji. </w:t>
      </w:r>
    </w:p>
    <w:p w14:paraId="42B0D4CE" w14:textId="788FD11C" w:rsidR="00296BBE" w:rsidRDefault="00296BBE" w:rsidP="00296BBE">
      <w:pPr>
        <w:pStyle w:val="Akapitzlist"/>
        <w:spacing w:after="120"/>
        <w:ind w:left="360"/>
        <w:rPr>
          <w:rFonts w:cs="Arial"/>
        </w:rPr>
      </w:pPr>
      <w:r w:rsidRPr="00296BBE">
        <w:rPr>
          <w:rFonts w:cs="Arial"/>
        </w:rPr>
        <w:t xml:space="preserve">Przez efekty uczenia się należy rozumieć wiedzę, umiejętności oraz kompetencje społeczne nabyte w edukacji formalnej, edukacji </w:t>
      </w:r>
      <w:proofErr w:type="spellStart"/>
      <w:r w:rsidRPr="00296BBE">
        <w:rPr>
          <w:rFonts w:cs="Arial"/>
        </w:rPr>
        <w:t>pozaformalnej</w:t>
      </w:r>
      <w:proofErr w:type="spellEnd"/>
      <w:r w:rsidRPr="00296BBE">
        <w:rPr>
          <w:rFonts w:cs="Arial"/>
        </w:rPr>
        <w:t xml:space="preserve"> lub poprzez uczenie się nieformalne, zgodne z ustalonymi dla danej kwalifikacji lub kompetencji wymaganiami. </w:t>
      </w:r>
    </w:p>
    <w:p w14:paraId="40561615" w14:textId="77777777" w:rsidR="00296BBE" w:rsidRPr="00296BBE" w:rsidRDefault="00296BBE" w:rsidP="00296BBE">
      <w:pPr>
        <w:pStyle w:val="Akapitzlist"/>
        <w:spacing w:after="120"/>
        <w:ind w:left="360"/>
        <w:rPr>
          <w:rFonts w:cs="Arial"/>
        </w:rPr>
      </w:pPr>
    </w:p>
    <w:p w14:paraId="14E0BC74" w14:textId="561FF374" w:rsidR="00296BBE" w:rsidRPr="00296BBE" w:rsidRDefault="00296BBE" w:rsidP="00296BBE">
      <w:pPr>
        <w:pStyle w:val="Akapitzlist"/>
        <w:spacing w:after="120"/>
        <w:ind w:left="360"/>
        <w:rPr>
          <w:rFonts w:cs="Arial"/>
        </w:rPr>
      </w:pPr>
      <w:r w:rsidRPr="00296BBE">
        <w:rPr>
          <w:rFonts w:cs="Arial"/>
        </w:rPr>
        <w:t xml:space="preserve">Wykazywać należy wyłącznie kwalifikacje lub kompetencje osiągnięte w wyniku udziału </w:t>
      </w:r>
      <w:r w:rsidR="00452BDC">
        <w:rPr>
          <w:rFonts w:cs="Arial"/>
        </w:rPr>
        <w:br/>
      </w:r>
      <w:r w:rsidRPr="00296BBE">
        <w:rPr>
          <w:rFonts w:cs="Arial"/>
        </w:rPr>
        <w:t xml:space="preserve">w projekcie EFS+. Powinny one być wykazywane tylko raz dla uczestnika/projektu. </w:t>
      </w:r>
    </w:p>
    <w:p w14:paraId="0CAA6AE9" w14:textId="22CB7C2A" w:rsidR="00296BBE" w:rsidRPr="00296BBE" w:rsidRDefault="00296BBE" w:rsidP="00296BBE">
      <w:pPr>
        <w:pStyle w:val="Akapitzlist"/>
        <w:spacing w:after="120"/>
        <w:ind w:left="360"/>
        <w:rPr>
          <w:rFonts w:cs="Arial"/>
        </w:rPr>
      </w:pPr>
      <w:r w:rsidRPr="00296BBE">
        <w:rPr>
          <w:rFonts w:cs="Arial"/>
        </w:rPr>
        <w:t xml:space="preserve">Do wskaźnika należy wliczać jedynie osoby, które uzyskały kwalifikacje /kompetencje </w:t>
      </w:r>
      <w:r w:rsidR="00452BDC">
        <w:rPr>
          <w:rFonts w:cs="Arial"/>
        </w:rPr>
        <w:br/>
      </w:r>
      <w:r w:rsidRPr="00296BBE">
        <w:rPr>
          <w:rFonts w:cs="Arial"/>
        </w:rPr>
        <w:t>w trakcie lub bezpośrednio po zakończeniu udziału w projekcie, tj. w ciągu czterech tygodni, które minęły od momentu zakończenia udziału w projekcie.</w:t>
      </w:r>
    </w:p>
    <w:p w14:paraId="00D42C0A" w14:textId="7367149F" w:rsidR="00296BBE" w:rsidRPr="00296BBE" w:rsidRDefault="00296BBE" w:rsidP="00296BBE">
      <w:pPr>
        <w:pStyle w:val="Akapitzlist"/>
        <w:spacing w:after="120"/>
        <w:ind w:left="360"/>
        <w:rPr>
          <w:rFonts w:cs="Arial"/>
        </w:rPr>
      </w:pPr>
      <w:r w:rsidRPr="00296BBE">
        <w:rPr>
          <w:rFonts w:cs="Arial"/>
        </w:rPr>
        <w:t xml:space="preserve">Jeżeli okres oczekiwania na wyniki walidacji/certyfikacji jest dłuższy niż cztery tygodnie od zakończenia udziału w projekcie, ale egzamin odbył się w trakcie tych czterech tygodni, wówczas można uwzględnić osoby we wskaźniku (po otrzymaniu wyników). </w:t>
      </w:r>
      <w:r w:rsidR="00452BDC">
        <w:rPr>
          <w:rFonts w:cs="Arial"/>
        </w:rPr>
        <w:br/>
      </w:r>
      <w:r w:rsidRPr="00296BBE">
        <w:rPr>
          <w:rFonts w:cs="Arial"/>
        </w:rPr>
        <w:t>We wskaźniku należy uwzględnić jednak tylko te osoby, które otrzymały wyniki do czasu ostatecznego rozliczenia projektu.</w:t>
      </w:r>
    </w:p>
    <w:p w14:paraId="7B03C62E" w14:textId="23568C85" w:rsidR="00964C38" w:rsidRPr="004451E6" w:rsidRDefault="00296BBE" w:rsidP="004451E6">
      <w:pPr>
        <w:pStyle w:val="Akapitzlist"/>
        <w:spacing w:after="120"/>
        <w:ind w:left="360"/>
        <w:rPr>
          <w:rFonts w:cs="Arial"/>
        </w:rPr>
      </w:pPr>
      <w:r w:rsidRPr="00296BBE">
        <w:rPr>
          <w:rFonts w:cs="Arial"/>
        </w:rPr>
        <w:t xml:space="preserve">Dodatkowe informacje na temat monitorowania uzyskiwania kwalifikacji i kompetencji </w:t>
      </w:r>
      <w:r w:rsidR="00C042BD">
        <w:rPr>
          <w:rFonts w:cs="Arial"/>
        </w:rPr>
        <w:br/>
      </w:r>
      <w:r w:rsidRPr="00296BBE">
        <w:rPr>
          <w:rFonts w:cs="Arial"/>
        </w:rPr>
        <w:t xml:space="preserve">w ramach projektów współfinansowanych z EFS+ zawarte są w załączniku nr 2 </w:t>
      </w:r>
      <w:r w:rsidR="00452BDC">
        <w:rPr>
          <w:rFonts w:cs="Arial"/>
        </w:rPr>
        <w:br/>
      </w:r>
      <w:r w:rsidRPr="00296BBE">
        <w:rPr>
          <w:rFonts w:cs="Arial"/>
        </w:rPr>
        <w:t>do Wytycznych w zakresie monitorowania postępu rzeczowego realizacji programów operacyjnych na lata 2021-2027.</w:t>
      </w:r>
    </w:p>
    <w:p w14:paraId="4D71E5E4" w14:textId="464C6D1F" w:rsidR="006F3FE0" w:rsidRDefault="00964C38" w:rsidP="00964C38">
      <w:pPr>
        <w:spacing w:after="0"/>
        <w:contextualSpacing/>
        <w:rPr>
          <w:rFonts w:cs="Arial"/>
          <w:b/>
        </w:rPr>
      </w:pPr>
      <w:r>
        <w:rPr>
          <w:rFonts w:cs="Arial"/>
          <w:b/>
        </w:rPr>
        <w:lastRenderedPageBreak/>
        <w:t xml:space="preserve">II </w:t>
      </w:r>
      <w:r w:rsidR="006F3FE0" w:rsidRPr="00664B7D">
        <w:rPr>
          <w:rFonts w:cs="Arial"/>
          <w:b/>
        </w:rPr>
        <w:t>Wskaźniki produktu</w:t>
      </w:r>
    </w:p>
    <w:p w14:paraId="7D030717" w14:textId="77777777" w:rsidR="00964C38" w:rsidRPr="00664B7D" w:rsidRDefault="00964C38" w:rsidP="00964C38">
      <w:pPr>
        <w:spacing w:after="0"/>
        <w:contextualSpacing/>
        <w:rPr>
          <w:rFonts w:cs="Arial"/>
          <w:b/>
        </w:rPr>
      </w:pPr>
    </w:p>
    <w:p w14:paraId="37AF3782" w14:textId="22EA726F" w:rsidR="006F3FE0" w:rsidRPr="00664B7D" w:rsidRDefault="006F3FE0" w:rsidP="00F15960">
      <w:pPr>
        <w:pStyle w:val="Akapitzlist"/>
        <w:numPr>
          <w:ilvl w:val="0"/>
          <w:numId w:val="49"/>
        </w:numPr>
        <w:spacing w:after="0"/>
        <w:ind w:left="426" w:hanging="426"/>
        <w:rPr>
          <w:rFonts w:cs="Arial"/>
          <w:b/>
        </w:rPr>
      </w:pPr>
      <w:r w:rsidRPr="00664B7D">
        <w:rPr>
          <w:rFonts w:cs="Arial"/>
          <w:b/>
        </w:rPr>
        <w:t>Liczba organizacji społeczeństwa obywatelskiego wspartych  w co najmniej jednym z następujących obszarów: standardy i procedury zarządzania, refleksyjność, wydolność finansowa, rzecznictwo, jakość usług, współpraca międzysektorowa (podmioty</w:t>
      </w:r>
      <w:r w:rsidR="00806B17" w:rsidRPr="00664B7D">
        <w:rPr>
          <w:rFonts w:cs="Arial"/>
          <w:b/>
        </w:rPr>
        <w:t xml:space="preserve"> - PL0CO05</w:t>
      </w:r>
      <w:r w:rsidRPr="00664B7D">
        <w:rPr>
          <w:rFonts w:cs="Arial"/>
          <w:b/>
        </w:rPr>
        <w:t>)</w:t>
      </w:r>
    </w:p>
    <w:p w14:paraId="4E0461E3" w14:textId="77777777" w:rsidR="00581CB1" w:rsidRPr="00664B7D" w:rsidRDefault="00581CB1" w:rsidP="0077300C">
      <w:pPr>
        <w:pStyle w:val="Akapitzlist"/>
        <w:spacing w:after="0"/>
        <w:ind w:left="426"/>
        <w:rPr>
          <w:rFonts w:cs="Arial"/>
        </w:rPr>
      </w:pPr>
      <w:r w:rsidRPr="00664B7D">
        <w:rPr>
          <w:rFonts w:cs="Arial"/>
        </w:rPr>
        <w:t xml:space="preserve">Organizacja społeczeństwa obywatelskiego to podmiot spełniający następujące kryteria: </w:t>
      </w:r>
    </w:p>
    <w:p w14:paraId="192C24F9" w14:textId="5235F8BF" w:rsidR="00581CB1" w:rsidRPr="00664B7D" w:rsidRDefault="00581CB1" w:rsidP="00F15960">
      <w:pPr>
        <w:pStyle w:val="Akapitzlist"/>
        <w:numPr>
          <w:ilvl w:val="0"/>
          <w:numId w:val="58"/>
        </w:numPr>
        <w:tabs>
          <w:tab w:val="left" w:pos="426"/>
        </w:tabs>
        <w:spacing w:after="0"/>
        <w:ind w:hanging="862"/>
        <w:rPr>
          <w:rFonts w:cs="Arial"/>
        </w:rPr>
      </w:pPr>
      <w:r w:rsidRPr="00664B7D">
        <w:rPr>
          <w:rFonts w:cs="Arial"/>
        </w:rPr>
        <w:t>istnienie struktury organizacyjnej oraz formalna rejestracja</w:t>
      </w:r>
    </w:p>
    <w:p w14:paraId="4D932053" w14:textId="32D1BC55" w:rsidR="00581CB1" w:rsidRPr="00664B7D" w:rsidRDefault="00581CB1" w:rsidP="00F15960">
      <w:pPr>
        <w:pStyle w:val="Akapitzlist"/>
        <w:numPr>
          <w:ilvl w:val="0"/>
          <w:numId w:val="58"/>
        </w:numPr>
        <w:spacing w:after="0"/>
        <w:ind w:left="426" w:hanging="426"/>
        <w:rPr>
          <w:rFonts w:cs="Arial"/>
        </w:rPr>
      </w:pPr>
      <w:r w:rsidRPr="00664B7D">
        <w:rPr>
          <w:rFonts w:cs="Arial"/>
        </w:rPr>
        <w:t>strukturalna niezależność od władz publicznyc</w:t>
      </w:r>
      <w:r w:rsidR="0077300C" w:rsidRPr="00664B7D">
        <w:rPr>
          <w:rFonts w:cs="Arial"/>
        </w:rPr>
        <w:t xml:space="preserve">h (zwłaszcza w wymiarze organów </w:t>
      </w:r>
      <w:r w:rsidRPr="00664B7D">
        <w:rPr>
          <w:rFonts w:cs="Arial"/>
        </w:rPr>
        <w:t>założycielskich, kontroli udziałów czy nadzoru właścicielskiego)</w:t>
      </w:r>
    </w:p>
    <w:p w14:paraId="204BEF04" w14:textId="6D68D9E8" w:rsidR="00581CB1" w:rsidRPr="00664B7D" w:rsidRDefault="00581CB1" w:rsidP="00F15960">
      <w:pPr>
        <w:pStyle w:val="Akapitzlist"/>
        <w:numPr>
          <w:ilvl w:val="0"/>
          <w:numId w:val="58"/>
        </w:numPr>
        <w:tabs>
          <w:tab w:val="left" w:pos="426"/>
        </w:tabs>
        <w:spacing w:after="0"/>
        <w:ind w:hanging="862"/>
        <w:rPr>
          <w:rFonts w:cs="Arial"/>
        </w:rPr>
      </w:pPr>
      <w:r w:rsidRPr="00664B7D">
        <w:rPr>
          <w:rFonts w:cs="Arial"/>
        </w:rPr>
        <w:t>niezarobkowy charakter organizacji</w:t>
      </w:r>
    </w:p>
    <w:p w14:paraId="1C1D1E48" w14:textId="6A7C863A" w:rsidR="00581CB1" w:rsidRPr="00664B7D" w:rsidRDefault="00581CB1" w:rsidP="00F15960">
      <w:pPr>
        <w:pStyle w:val="Akapitzlist"/>
        <w:numPr>
          <w:ilvl w:val="0"/>
          <w:numId w:val="58"/>
        </w:numPr>
        <w:tabs>
          <w:tab w:val="left" w:pos="426"/>
        </w:tabs>
        <w:spacing w:after="0"/>
        <w:ind w:hanging="862"/>
        <w:rPr>
          <w:rFonts w:cs="Arial"/>
        </w:rPr>
      </w:pPr>
      <w:r w:rsidRPr="00664B7D">
        <w:rPr>
          <w:rFonts w:cs="Arial"/>
        </w:rPr>
        <w:t>suwerenność i samorządność</w:t>
      </w:r>
    </w:p>
    <w:p w14:paraId="241F81FB" w14:textId="46363D1B" w:rsidR="00581CB1" w:rsidRPr="00664B7D" w:rsidRDefault="00581CB1" w:rsidP="00F15960">
      <w:pPr>
        <w:pStyle w:val="Akapitzlist"/>
        <w:numPr>
          <w:ilvl w:val="0"/>
          <w:numId w:val="58"/>
        </w:numPr>
        <w:tabs>
          <w:tab w:val="left" w:pos="426"/>
        </w:tabs>
        <w:spacing w:after="0"/>
        <w:ind w:hanging="862"/>
        <w:rPr>
          <w:rFonts w:cs="Arial"/>
        </w:rPr>
      </w:pPr>
      <w:r w:rsidRPr="00664B7D">
        <w:rPr>
          <w:rFonts w:cs="Arial"/>
        </w:rPr>
        <w:t>dobrowolność przynależności.</w:t>
      </w:r>
    </w:p>
    <w:p w14:paraId="7EE19FE2" w14:textId="1D1268F3" w:rsidR="00581CB1" w:rsidRPr="00664B7D" w:rsidRDefault="00581CB1" w:rsidP="0077300C">
      <w:pPr>
        <w:spacing w:after="0"/>
        <w:ind w:left="426"/>
        <w:rPr>
          <w:rFonts w:cs="Arial"/>
        </w:rPr>
      </w:pPr>
      <w:r w:rsidRPr="00664B7D">
        <w:rPr>
          <w:rFonts w:cs="Arial"/>
        </w:rPr>
        <w:t xml:space="preserve">Wskaźnik mierzy liczbę organizacji społeczeństwa obywatelskiego, którym zostało udzielone wsparcie w ramach co najmniej jednego z obszarów wskazanych w nazwie wskaźnika. </w:t>
      </w:r>
    </w:p>
    <w:p w14:paraId="3759FB45" w14:textId="1C32487D" w:rsidR="006F3FE0" w:rsidRDefault="00581CB1" w:rsidP="0077300C">
      <w:pPr>
        <w:spacing w:after="0"/>
        <w:ind w:left="426"/>
        <w:rPr>
          <w:rFonts w:cs="Arial"/>
        </w:rPr>
      </w:pPr>
      <w:r w:rsidRPr="00664B7D">
        <w:rPr>
          <w:rFonts w:cs="Arial"/>
        </w:rPr>
        <w:t>Podmiot wliczany do wskaźnika w momencie rozpoczęcia udziału we wsparciu.</w:t>
      </w:r>
    </w:p>
    <w:p w14:paraId="5013AB7E" w14:textId="77777777" w:rsidR="00506644" w:rsidRPr="00664B7D" w:rsidRDefault="00506644" w:rsidP="0077300C">
      <w:pPr>
        <w:spacing w:after="0"/>
        <w:ind w:left="426"/>
        <w:rPr>
          <w:rFonts w:cs="Arial"/>
        </w:rPr>
      </w:pPr>
    </w:p>
    <w:p w14:paraId="5F7931FE" w14:textId="350B1D77" w:rsidR="008E4E85" w:rsidRPr="00664B7D" w:rsidRDefault="006F3FE0" w:rsidP="0077300C">
      <w:pPr>
        <w:spacing w:after="0"/>
        <w:ind w:left="426"/>
        <w:rPr>
          <w:rFonts w:cs="Arial"/>
        </w:rPr>
      </w:pPr>
      <w:r w:rsidRPr="00506644">
        <w:rPr>
          <w:rFonts w:eastAsia="Calibri" w:cs="Arial"/>
          <w:b/>
          <w:color w:val="2F5496"/>
        </w:rPr>
        <w:t>UWAGA!</w:t>
      </w:r>
      <w:r w:rsidRPr="00506644">
        <w:rPr>
          <w:rFonts w:cs="Arial"/>
        </w:rPr>
        <w:t xml:space="preserve"> </w:t>
      </w:r>
      <w:r w:rsidR="00FD444D" w:rsidRPr="00506644">
        <w:rPr>
          <w:rFonts w:cs="Arial"/>
        </w:rPr>
        <w:t>Z</w:t>
      </w:r>
      <w:r w:rsidRPr="00506644">
        <w:rPr>
          <w:rFonts w:cs="Arial"/>
        </w:rPr>
        <w:t xml:space="preserve">godnie z kryterium specyficznym dostępu nr 4 </w:t>
      </w:r>
      <w:r w:rsidR="00FD444D" w:rsidRPr="00506644">
        <w:rPr>
          <w:rFonts w:cs="Arial"/>
        </w:rPr>
        <w:t xml:space="preserve">minimalna wartość wskaźnika powinna wynosić </w:t>
      </w:r>
      <w:r w:rsidRPr="00506644">
        <w:rPr>
          <w:rFonts w:cs="Arial"/>
        </w:rPr>
        <w:t>200</w:t>
      </w:r>
      <w:r w:rsidR="00FD444D" w:rsidRPr="00506644">
        <w:rPr>
          <w:rFonts w:cs="Arial"/>
        </w:rPr>
        <w:t>.</w:t>
      </w:r>
    </w:p>
    <w:p w14:paraId="52BE0300" w14:textId="77777777" w:rsidR="009D617C" w:rsidRPr="00664B7D" w:rsidRDefault="009D617C" w:rsidP="00964C38">
      <w:pPr>
        <w:spacing w:after="0"/>
        <w:rPr>
          <w:rFonts w:cs="Arial"/>
        </w:rPr>
      </w:pPr>
    </w:p>
    <w:p w14:paraId="77E633EA" w14:textId="0ADA36FF" w:rsidR="006F3FE0" w:rsidRPr="001619AD" w:rsidRDefault="006F3FE0" w:rsidP="00F15960">
      <w:pPr>
        <w:pStyle w:val="TreNum-K"/>
        <w:numPr>
          <w:ilvl w:val="0"/>
          <w:numId w:val="49"/>
        </w:numPr>
        <w:ind w:left="426" w:hanging="426"/>
        <w:rPr>
          <w:rFonts w:eastAsia="Calibri"/>
          <w:b/>
        </w:rPr>
      </w:pPr>
      <w:r w:rsidRPr="00664B7D">
        <w:rPr>
          <w:rFonts w:eastAsia="Calibri"/>
          <w:b/>
        </w:rPr>
        <w:t>Liczba organizacji społeczeństwa obywatelskiego wspartych w zakresie wdrażania nowych metod działania lub rodzajów usług (podmioty</w:t>
      </w:r>
      <w:r w:rsidR="00FD444D" w:rsidRPr="00664B7D">
        <w:rPr>
          <w:rFonts w:eastAsia="Calibri"/>
          <w:b/>
        </w:rPr>
        <w:t xml:space="preserve"> - PL0CO06</w:t>
      </w:r>
      <w:r w:rsidRPr="00664B7D">
        <w:rPr>
          <w:rFonts w:eastAsia="Calibri"/>
          <w:b/>
        </w:rPr>
        <w:t>)</w:t>
      </w:r>
    </w:p>
    <w:p w14:paraId="726AF703" w14:textId="4C35AA62" w:rsidR="00581CB1" w:rsidRPr="001619AD" w:rsidRDefault="00581CB1" w:rsidP="001619AD">
      <w:pPr>
        <w:pStyle w:val="TreNum-K"/>
        <w:ind w:left="426"/>
        <w:rPr>
          <w:rFonts w:eastAsia="Calibri"/>
          <w:bCs/>
        </w:rPr>
      </w:pPr>
      <w:r w:rsidRPr="001619AD">
        <w:rPr>
          <w:rFonts w:eastAsia="Calibri"/>
          <w:bCs/>
        </w:rPr>
        <w:t>Definicja organizacji społeczeństwa obywatelskiego zgodnie ze wskaźnikiem PL0CO05.</w:t>
      </w:r>
    </w:p>
    <w:p w14:paraId="0C932335" w14:textId="4ADC2C61" w:rsidR="00581CB1" w:rsidRPr="001619AD" w:rsidRDefault="00581CB1" w:rsidP="001619AD">
      <w:pPr>
        <w:pStyle w:val="TreNum-K"/>
        <w:ind w:left="426"/>
        <w:rPr>
          <w:rFonts w:eastAsia="Calibri"/>
          <w:bCs/>
        </w:rPr>
      </w:pPr>
      <w:r w:rsidRPr="001619AD">
        <w:rPr>
          <w:rFonts w:eastAsia="Calibri"/>
          <w:bCs/>
        </w:rPr>
        <w:t xml:space="preserve">Wskaźnik mierzy liczbę organizacji społeczeństwa obywatelskiego objętych wsparciem </w:t>
      </w:r>
      <w:r w:rsidR="00C042BD">
        <w:rPr>
          <w:rFonts w:eastAsia="Calibri"/>
          <w:bCs/>
        </w:rPr>
        <w:br/>
      </w:r>
      <w:r w:rsidRPr="001619AD">
        <w:rPr>
          <w:rFonts w:eastAsia="Calibri"/>
          <w:bCs/>
        </w:rPr>
        <w:t xml:space="preserve">w zakresie wdrażania nowych metod działania lub rodzajów usług. </w:t>
      </w:r>
    </w:p>
    <w:p w14:paraId="3CA59FCD" w14:textId="78366206" w:rsidR="008E4E85" w:rsidRPr="001619AD" w:rsidRDefault="00581CB1" w:rsidP="001619AD">
      <w:pPr>
        <w:pStyle w:val="TreNum-K"/>
        <w:ind w:left="426"/>
        <w:rPr>
          <w:bCs/>
        </w:rPr>
      </w:pPr>
      <w:r w:rsidRPr="001619AD">
        <w:rPr>
          <w:rFonts w:eastAsia="Calibri"/>
          <w:bCs/>
        </w:rPr>
        <w:t>Podmiot wliczany do wskaźnika w momencie rozpoczęcia udziału we wsparciu</w:t>
      </w:r>
      <w:r w:rsidR="00A91BAA" w:rsidRPr="001619AD">
        <w:rPr>
          <w:rFonts w:eastAsia="Calibri"/>
          <w:bCs/>
        </w:rPr>
        <w:t>.</w:t>
      </w:r>
    </w:p>
    <w:p w14:paraId="595B7118" w14:textId="77777777" w:rsidR="008E4E85" w:rsidRPr="00664B7D" w:rsidRDefault="008E4E85" w:rsidP="0077300C">
      <w:pPr>
        <w:pStyle w:val="Podrozdzia-K"/>
        <w:numPr>
          <w:ilvl w:val="0"/>
          <w:numId w:val="0"/>
        </w:numPr>
        <w:spacing w:before="0" w:after="0"/>
        <w:ind w:left="426" w:hanging="426"/>
      </w:pPr>
    </w:p>
    <w:p w14:paraId="3F6722B3" w14:textId="07442310" w:rsidR="00A63454" w:rsidRPr="00664B7D" w:rsidRDefault="00A63454" w:rsidP="00F15960">
      <w:pPr>
        <w:pStyle w:val="TreNum-K"/>
        <w:numPr>
          <w:ilvl w:val="0"/>
          <w:numId w:val="49"/>
        </w:numPr>
        <w:ind w:left="426" w:hanging="426"/>
        <w:rPr>
          <w:rFonts w:eastAsia="Calibri"/>
          <w:b/>
        </w:rPr>
      </w:pPr>
      <w:r w:rsidRPr="00664B7D">
        <w:rPr>
          <w:rFonts w:eastAsia="Calibri"/>
          <w:b/>
        </w:rPr>
        <w:t>Liczba przedstawicieli organizacji społeczeństwa obywatelskiego (w tym wolontariuszy) objętych wsparciem w programie (osoby</w:t>
      </w:r>
      <w:r w:rsidR="00FD444D" w:rsidRPr="00664B7D">
        <w:rPr>
          <w:rFonts w:eastAsia="Calibri"/>
          <w:b/>
        </w:rPr>
        <w:t xml:space="preserve"> - PL0CO07</w:t>
      </w:r>
      <w:r w:rsidRPr="00664B7D">
        <w:rPr>
          <w:rFonts w:eastAsia="Calibri"/>
          <w:b/>
        </w:rPr>
        <w:t>)</w:t>
      </w:r>
    </w:p>
    <w:p w14:paraId="1B0742BB" w14:textId="77777777" w:rsidR="00A63454" w:rsidRPr="00664B7D" w:rsidRDefault="00A63454" w:rsidP="0077300C">
      <w:pPr>
        <w:pStyle w:val="TreNum-K"/>
        <w:ind w:left="426"/>
      </w:pPr>
      <w:r w:rsidRPr="00664B7D">
        <w:t>Definicja organizacji społeczeństwa obywatelskiego zgodnie ze wskaźnikiem PL0CO05.</w:t>
      </w:r>
    </w:p>
    <w:p w14:paraId="59DE3161" w14:textId="77777777" w:rsidR="00A63454" w:rsidRPr="00664B7D" w:rsidRDefault="00A63454" w:rsidP="0077300C">
      <w:pPr>
        <w:pStyle w:val="TreNum-K"/>
        <w:ind w:left="426"/>
      </w:pPr>
      <w:r w:rsidRPr="00664B7D">
        <w:t xml:space="preserve">Wskaźnik mierzy liczbę przedstawicieli organizacji społeczeństwa obywatelskiego (osoby zatrudnione w organizacjach, współpracujące na podstawie umów cywilno-prawnych oraz wolontariuszy) objętych wsparciem w programie. </w:t>
      </w:r>
    </w:p>
    <w:p w14:paraId="4D7223A2" w14:textId="1F8C0CD9" w:rsidR="00A63454" w:rsidRPr="00664B7D" w:rsidRDefault="00A63454" w:rsidP="0077300C">
      <w:pPr>
        <w:spacing w:after="0"/>
        <w:ind w:left="426"/>
      </w:pPr>
      <w:r w:rsidRPr="00664B7D">
        <w:t>Osoba jest wliczana do wskaźnika w momencie rozpo</w:t>
      </w:r>
      <w:r w:rsidR="00A91BAA" w:rsidRPr="00664B7D">
        <w:t>częcia udziału w projekcie.</w:t>
      </w:r>
    </w:p>
    <w:p w14:paraId="5AD5A790" w14:textId="77777777" w:rsidR="008E4E85" w:rsidRPr="00664B7D" w:rsidRDefault="008E4E85" w:rsidP="0077300C">
      <w:pPr>
        <w:spacing w:after="0"/>
        <w:ind w:left="426" w:hanging="426"/>
        <w:rPr>
          <w:rFonts w:eastAsia="Calibri" w:cs="Arial"/>
          <w:b/>
          <w:color w:val="2F5496"/>
        </w:rPr>
      </w:pPr>
    </w:p>
    <w:p w14:paraId="4A18E049" w14:textId="091BC682" w:rsidR="006F3FE0" w:rsidRPr="00664B7D" w:rsidRDefault="006F3FE0" w:rsidP="0077300C">
      <w:pPr>
        <w:spacing w:after="0"/>
        <w:ind w:left="426"/>
        <w:rPr>
          <w:rFonts w:cs="Arial"/>
        </w:rPr>
      </w:pPr>
      <w:r w:rsidRPr="00506644">
        <w:rPr>
          <w:rFonts w:eastAsia="Calibri" w:cs="Arial"/>
          <w:b/>
          <w:color w:val="2F5496"/>
        </w:rPr>
        <w:lastRenderedPageBreak/>
        <w:t>UWAGA!</w:t>
      </w:r>
      <w:r w:rsidRPr="00506644">
        <w:rPr>
          <w:rFonts w:cs="Arial"/>
        </w:rPr>
        <w:t xml:space="preserve"> </w:t>
      </w:r>
      <w:r w:rsidR="00FD444D" w:rsidRPr="00506644">
        <w:rPr>
          <w:rFonts w:cs="Arial"/>
        </w:rPr>
        <w:t>Z</w:t>
      </w:r>
      <w:r w:rsidRPr="00506644">
        <w:rPr>
          <w:rFonts w:cs="Arial"/>
        </w:rPr>
        <w:t xml:space="preserve">godnie z kryterium specyficznym dostępu nr </w:t>
      </w:r>
      <w:r w:rsidR="00A91BAA" w:rsidRPr="00506644">
        <w:rPr>
          <w:rFonts w:cs="Arial"/>
        </w:rPr>
        <w:t>6</w:t>
      </w:r>
      <w:r w:rsidRPr="00506644">
        <w:rPr>
          <w:rFonts w:cs="Arial"/>
        </w:rPr>
        <w:t xml:space="preserve"> </w:t>
      </w:r>
      <w:r w:rsidR="00FD444D" w:rsidRPr="00506644">
        <w:rPr>
          <w:rFonts w:cs="Arial"/>
        </w:rPr>
        <w:t xml:space="preserve">minimalna wartość wskaźnika to </w:t>
      </w:r>
      <w:r w:rsidR="00A91BAA" w:rsidRPr="00506644">
        <w:rPr>
          <w:rFonts w:cs="Arial"/>
        </w:rPr>
        <w:t>1</w:t>
      </w:r>
      <w:r w:rsidR="008E4E85" w:rsidRPr="00506644">
        <w:rPr>
          <w:rFonts w:cs="Arial"/>
        </w:rPr>
        <w:t> </w:t>
      </w:r>
      <w:r w:rsidR="00A91BAA" w:rsidRPr="00506644">
        <w:rPr>
          <w:rFonts w:cs="Arial"/>
        </w:rPr>
        <w:t>800</w:t>
      </w:r>
      <w:r w:rsidR="00FD444D" w:rsidRPr="00506644">
        <w:rPr>
          <w:rFonts w:cs="Arial"/>
        </w:rPr>
        <w:t>.</w:t>
      </w:r>
    </w:p>
    <w:p w14:paraId="099B22A0" w14:textId="77777777" w:rsidR="008E4E85" w:rsidRPr="00664B7D" w:rsidRDefault="008E4E85" w:rsidP="0077300C">
      <w:pPr>
        <w:spacing w:after="0"/>
        <w:ind w:left="426" w:hanging="426"/>
        <w:rPr>
          <w:rFonts w:cs="Arial"/>
        </w:rPr>
      </w:pPr>
    </w:p>
    <w:p w14:paraId="25CDFB28" w14:textId="527C581C" w:rsidR="006F3FE0" w:rsidRPr="00664B7D" w:rsidRDefault="006F3FE0" w:rsidP="00F15960">
      <w:pPr>
        <w:pStyle w:val="TreNum-K"/>
        <w:numPr>
          <w:ilvl w:val="0"/>
          <w:numId w:val="49"/>
        </w:numPr>
        <w:ind w:left="426" w:hanging="426"/>
        <w:rPr>
          <w:b/>
        </w:rPr>
      </w:pPr>
      <w:r w:rsidRPr="00664B7D">
        <w:rPr>
          <w:rFonts w:eastAsia="Calibri"/>
          <w:b/>
        </w:rPr>
        <w:t>Liczba organizacji partnerów społecznych objętych wsparciem (</w:t>
      </w:r>
      <w:r w:rsidR="009332B5" w:rsidRPr="00664B7D">
        <w:rPr>
          <w:rFonts w:eastAsia="Calibri"/>
          <w:b/>
        </w:rPr>
        <w:t>podmioty</w:t>
      </w:r>
      <w:r w:rsidR="00FD444D" w:rsidRPr="00664B7D">
        <w:rPr>
          <w:rFonts w:eastAsia="Calibri"/>
          <w:b/>
        </w:rPr>
        <w:t xml:space="preserve"> - </w:t>
      </w:r>
      <w:r w:rsidR="00FD444D" w:rsidRPr="00664B7D">
        <w:rPr>
          <w:b/>
        </w:rPr>
        <w:t>PL0CO08</w:t>
      </w:r>
      <w:r w:rsidRPr="00664B7D">
        <w:rPr>
          <w:rFonts w:eastAsia="Calibri"/>
          <w:b/>
        </w:rPr>
        <w:t>)</w:t>
      </w:r>
    </w:p>
    <w:p w14:paraId="75584A00" w14:textId="20CD6C8E" w:rsidR="00A63454" w:rsidRPr="00664B7D" w:rsidRDefault="00A63454" w:rsidP="0077300C">
      <w:pPr>
        <w:pStyle w:val="TreNum-K"/>
        <w:ind w:left="426"/>
        <w:rPr>
          <w:rFonts w:eastAsia="Calibri"/>
        </w:rPr>
      </w:pPr>
      <w:r w:rsidRPr="00664B7D">
        <w:rPr>
          <w:rFonts w:eastAsia="Calibri"/>
        </w:rPr>
        <w:t>Jako organizacje partnerów społecznych należy rozumieć</w:t>
      </w:r>
      <w:r w:rsidR="009D617C" w:rsidRPr="00664B7D">
        <w:rPr>
          <w:rFonts w:eastAsia="Calibri"/>
        </w:rPr>
        <w:t xml:space="preserve"> </w:t>
      </w:r>
      <w:r w:rsidRPr="00664B7D">
        <w:rPr>
          <w:rFonts w:eastAsia="Calibri"/>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w tym </w:t>
      </w:r>
      <w:r w:rsidR="009D617C" w:rsidRPr="00664B7D">
        <w:rPr>
          <w:rFonts w:eastAsia="Calibri"/>
        </w:rPr>
        <w:br/>
      </w:r>
      <w:r w:rsidRPr="00664B7D">
        <w:rPr>
          <w:rFonts w:eastAsia="Calibri"/>
        </w:rPr>
        <w:t xml:space="preserve">w szczególności:  </w:t>
      </w:r>
    </w:p>
    <w:p w14:paraId="571BCFFE" w14:textId="77777777" w:rsidR="00A63454" w:rsidRPr="00664B7D" w:rsidRDefault="00A63454" w:rsidP="0077300C">
      <w:pPr>
        <w:pStyle w:val="TreNum-K"/>
        <w:ind w:left="426" w:hanging="426"/>
        <w:rPr>
          <w:rFonts w:eastAsia="Calibri"/>
        </w:rPr>
      </w:pPr>
      <w:r w:rsidRPr="00664B7D">
        <w:rPr>
          <w:rFonts w:eastAsia="Calibri"/>
        </w:rPr>
        <w:t>a)</w:t>
      </w:r>
      <w:r w:rsidRPr="00664B7D">
        <w:rPr>
          <w:rFonts w:eastAsia="Calibri"/>
        </w:rPr>
        <w:tab/>
        <w:t xml:space="preserve">reprezentatywne organizacje pracodawców i pracowników w rozumieniu ustawy z dnia 24 lipca 2015 r. o Radzie Dialogu Społecznego i innych instytucjach dialogu społecznego  oraz </w:t>
      </w:r>
    </w:p>
    <w:p w14:paraId="24234D59" w14:textId="77777777" w:rsidR="009332B5" w:rsidRPr="00664B7D" w:rsidRDefault="00A63454" w:rsidP="0077300C">
      <w:pPr>
        <w:pStyle w:val="TreNum-K"/>
        <w:ind w:left="426" w:hanging="426"/>
        <w:rPr>
          <w:b/>
        </w:rPr>
      </w:pPr>
      <w:r w:rsidRPr="00664B7D">
        <w:rPr>
          <w:rFonts w:eastAsia="Calibri"/>
        </w:rPr>
        <w:t>b)</w:t>
      </w:r>
      <w:r w:rsidRPr="00664B7D">
        <w:rPr>
          <w:rFonts w:eastAsia="Calibri"/>
        </w:rPr>
        <w:tab/>
        <w:t>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r. o Radzie Dialogu Społecznego i innych instytucjach dialogu społecznego.</w:t>
      </w:r>
    </w:p>
    <w:p w14:paraId="0B61631D" w14:textId="77777777" w:rsidR="008E4E85" w:rsidRPr="00664B7D" w:rsidRDefault="00A63454" w:rsidP="0077300C">
      <w:pPr>
        <w:pStyle w:val="TreNum-K"/>
        <w:ind w:left="426"/>
      </w:pPr>
      <w:r w:rsidRPr="00664B7D">
        <w:rPr>
          <w:rFonts w:eastAsia="Calibri"/>
        </w:rPr>
        <w:t xml:space="preserve">Wskaźnik mierzy liczbę reprezentatywnych organizacji partnerów społecznych i zrzeszonych w ich strukturach organizacji członkowskich, objętych wsparciem, o którym mowa w art. 9 ust. 1 i 2 rozporządzenia Parlamentu Europejskiego i Rady (UE) 2021/1057 z dnia 24 czerwca 2021 r. </w:t>
      </w:r>
      <w:r w:rsidR="009332B5" w:rsidRPr="00664B7D">
        <w:t>ustanawiającego Europejski Fundusz Społeczny Plus (EFS+) oraz uchylającego rozporządzenie (UE) nr 1296/2013 i monitorowanym kodem 07 Budowanie zdolności partnerów społecznych, zgodnie z założeniami Programu</w:t>
      </w:r>
      <w:r w:rsidR="008E4E85" w:rsidRPr="00664B7D">
        <w:t>.</w:t>
      </w:r>
    </w:p>
    <w:p w14:paraId="41BD5EE5" w14:textId="19B9E3B5" w:rsidR="009332B5" w:rsidRPr="00664B7D" w:rsidRDefault="009332B5" w:rsidP="0077300C">
      <w:pPr>
        <w:pStyle w:val="TreNum-K"/>
        <w:ind w:left="426" w:hanging="426"/>
      </w:pPr>
      <w:r w:rsidRPr="00664B7D">
        <w:t xml:space="preserve"> </w:t>
      </w:r>
    </w:p>
    <w:p w14:paraId="1D86C0DC" w14:textId="77795FC2" w:rsidR="00A91BAA" w:rsidRPr="00664B7D" w:rsidRDefault="00A91BAA" w:rsidP="0077300C">
      <w:pPr>
        <w:spacing w:after="0"/>
        <w:ind w:left="426"/>
        <w:rPr>
          <w:rFonts w:cs="Arial"/>
        </w:rPr>
      </w:pPr>
      <w:r w:rsidRPr="00506644">
        <w:rPr>
          <w:rFonts w:eastAsia="Calibri" w:cs="Arial"/>
          <w:b/>
          <w:color w:val="2F5496"/>
        </w:rPr>
        <w:t>UWAGA!</w:t>
      </w:r>
      <w:r w:rsidR="00FD444D" w:rsidRPr="00506644">
        <w:rPr>
          <w:rFonts w:cs="Arial"/>
        </w:rPr>
        <w:t xml:space="preserve"> Z</w:t>
      </w:r>
      <w:r w:rsidRPr="00506644">
        <w:rPr>
          <w:rFonts w:cs="Arial"/>
        </w:rPr>
        <w:t>godnie z kryterium specyficznym dostępu nr 5 minim</w:t>
      </w:r>
      <w:r w:rsidR="00FD444D" w:rsidRPr="00506644">
        <w:rPr>
          <w:rFonts w:cs="Arial"/>
        </w:rPr>
        <w:t>alna wartość wskaźnika to</w:t>
      </w:r>
      <w:r w:rsidRPr="00506644">
        <w:rPr>
          <w:rFonts w:cs="Arial"/>
        </w:rPr>
        <w:t xml:space="preserve"> 20</w:t>
      </w:r>
      <w:r w:rsidR="00FD444D" w:rsidRPr="00506644">
        <w:rPr>
          <w:rFonts w:cs="Arial"/>
        </w:rPr>
        <w:t>.</w:t>
      </w:r>
    </w:p>
    <w:p w14:paraId="065B9622" w14:textId="77777777" w:rsidR="008E4E85" w:rsidRPr="00664B7D" w:rsidRDefault="008E4E85" w:rsidP="0077300C">
      <w:pPr>
        <w:spacing w:after="0"/>
        <w:ind w:left="426" w:hanging="426"/>
      </w:pPr>
    </w:p>
    <w:p w14:paraId="1453361E" w14:textId="2D19E554" w:rsidR="009332B5" w:rsidRPr="00664B7D" w:rsidRDefault="009332B5" w:rsidP="00F15960">
      <w:pPr>
        <w:pStyle w:val="TreNum-K"/>
        <w:numPr>
          <w:ilvl w:val="0"/>
          <w:numId w:val="49"/>
        </w:numPr>
        <w:ind w:left="426" w:hanging="426"/>
      </w:pPr>
      <w:r w:rsidRPr="00664B7D">
        <w:rPr>
          <w:b/>
        </w:rPr>
        <w:t>Liczba przedstawicieli organizacji partnerów społecznych objętych wsparciem (osoby</w:t>
      </w:r>
      <w:r w:rsidR="00463FF4" w:rsidRPr="00664B7D">
        <w:rPr>
          <w:b/>
        </w:rPr>
        <w:t xml:space="preserve"> - PL0CO09</w:t>
      </w:r>
      <w:r w:rsidRPr="00664B7D">
        <w:rPr>
          <w:b/>
        </w:rPr>
        <w:t>)</w:t>
      </w:r>
    </w:p>
    <w:p w14:paraId="27BC2237" w14:textId="239C5C0A" w:rsidR="008E4E85" w:rsidRDefault="009332B5" w:rsidP="00506644">
      <w:pPr>
        <w:pStyle w:val="TreNum-K"/>
        <w:ind w:left="426"/>
      </w:pPr>
      <w:r w:rsidRPr="00664B7D">
        <w:t>Wskaźnik mierzy liczbę przedstawicieli organizacji partnerów społecznych, którzy przystąpili do projektu i otrzymali wsparcie w zakresie związanym z budowaniem zdolności organizacji partnerów społecznych, zgodnie z definicją wskaźnika produktu PL0CO08.</w:t>
      </w:r>
    </w:p>
    <w:p w14:paraId="4083ADCB" w14:textId="77777777" w:rsidR="00506644" w:rsidRPr="00664B7D" w:rsidRDefault="00506644" w:rsidP="00506644">
      <w:pPr>
        <w:pStyle w:val="TreNum-K"/>
        <w:ind w:left="426"/>
      </w:pPr>
    </w:p>
    <w:p w14:paraId="5E4D2284" w14:textId="163C662F" w:rsidR="00A91BAA" w:rsidRPr="00664B7D" w:rsidRDefault="00A91BAA" w:rsidP="0077300C">
      <w:pPr>
        <w:spacing w:after="0"/>
        <w:ind w:left="426"/>
        <w:rPr>
          <w:rFonts w:cs="Arial"/>
        </w:rPr>
      </w:pPr>
      <w:r w:rsidRPr="00506644">
        <w:rPr>
          <w:rFonts w:eastAsia="Calibri" w:cs="Arial"/>
          <w:b/>
          <w:color w:val="2F5496"/>
        </w:rPr>
        <w:lastRenderedPageBreak/>
        <w:t>UWAGA!</w:t>
      </w:r>
      <w:r w:rsidR="002A03F6" w:rsidRPr="00506644">
        <w:rPr>
          <w:rFonts w:cs="Arial"/>
        </w:rPr>
        <w:t xml:space="preserve"> Z</w:t>
      </w:r>
      <w:r w:rsidRPr="00506644">
        <w:rPr>
          <w:rFonts w:cs="Arial"/>
        </w:rPr>
        <w:t xml:space="preserve">godnie z kryterium specyficznym dostępu nr 7 </w:t>
      </w:r>
      <w:r w:rsidR="002A03F6" w:rsidRPr="00506644">
        <w:rPr>
          <w:rFonts w:cs="Arial"/>
        </w:rPr>
        <w:t xml:space="preserve">minimalna wartość wskaźnika to </w:t>
      </w:r>
      <w:r w:rsidRPr="00506644">
        <w:rPr>
          <w:rFonts w:cs="Arial"/>
        </w:rPr>
        <w:t>600</w:t>
      </w:r>
      <w:r w:rsidR="002A03F6" w:rsidRPr="00506644">
        <w:rPr>
          <w:rFonts w:cs="Arial"/>
        </w:rPr>
        <w:t>.</w:t>
      </w:r>
    </w:p>
    <w:p w14:paraId="30E90CAC" w14:textId="77777777" w:rsidR="006F3FE0" w:rsidRPr="00664B7D" w:rsidRDefault="006F3FE0" w:rsidP="00502B08">
      <w:pPr>
        <w:pStyle w:val="TreNum-K"/>
      </w:pPr>
    </w:p>
    <w:p w14:paraId="7797E924" w14:textId="2A28FD59" w:rsidR="006F3FE0" w:rsidRPr="00664B7D" w:rsidRDefault="00964C38" w:rsidP="00964C38">
      <w:pPr>
        <w:spacing w:after="0" w:line="259" w:lineRule="auto"/>
        <w:contextualSpacing/>
        <w:jc w:val="both"/>
        <w:rPr>
          <w:rFonts w:cs="Arial"/>
          <w:b/>
        </w:rPr>
      </w:pPr>
      <w:r>
        <w:rPr>
          <w:rFonts w:cs="Arial"/>
          <w:b/>
        </w:rPr>
        <w:t xml:space="preserve">III </w:t>
      </w:r>
      <w:r w:rsidR="006F3FE0" w:rsidRPr="00664B7D">
        <w:rPr>
          <w:rFonts w:cs="Arial"/>
          <w:b/>
        </w:rPr>
        <w:t>Wskaźniki wspólne</w:t>
      </w:r>
    </w:p>
    <w:p w14:paraId="19D7EEEF" w14:textId="77777777" w:rsidR="006F3FE0" w:rsidRPr="00664B7D" w:rsidRDefault="006F3FE0" w:rsidP="006F3FE0">
      <w:pPr>
        <w:spacing w:after="0"/>
        <w:jc w:val="both"/>
        <w:rPr>
          <w:rFonts w:cs="Arial"/>
        </w:rPr>
      </w:pPr>
    </w:p>
    <w:p w14:paraId="51C4961D" w14:textId="18D15EEE" w:rsidR="005F7108" w:rsidRPr="00664B7D" w:rsidRDefault="00EE6487" w:rsidP="0077300C">
      <w:pPr>
        <w:ind w:left="426"/>
        <w:rPr>
          <w:rFonts w:cs="Arial"/>
        </w:rPr>
      </w:pPr>
      <w:r w:rsidRPr="00664B7D">
        <w:rPr>
          <w:rFonts w:cs="Arial"/>
        </w:rPr>
        <w:t>Dodatkowo W</w:t>
      </w:r>
      <w:r w:rsidR="005F7108" w:rsidRPr="00664B7D">
        <w:rPr>
          <w:rFonts w:cs="Arial"/>
        </w:rPr>
        <w:t>nioskodawca zobowiązany jest do wykazania we wniosku o dofinansowanie projektu, a następnie do monitorowania na etapie realizacji projektu, również w przypadku zerowej wartości docelowej, poniższych wskaźników o charakterze informacyjnym:</w:t>
      </w:r>
    </w:p>
    <w:p w14:paraId="7DBFB803" w14:textId="77777777" w:rsidR="005F7108" w:rsidRPr="00664B7D" w:rsidRDefault="005F7108" w:rsidP="00F15960">
      <w:pPr>
        <w:numPr>
          <w:ilvl w:val="0"/>
          <w:numId w:val="36"/>
        </w:numPr>
        <w:spacing w:after="120" w:line="259" w:lineRule="auto"/>
        <w:ind w:left="426" w:hanging="426"/>
        <w:contextualSpacing/>
        <w:rPr>
          <w:rFonts w:cs="Arial"/>
          <w:b/>
        </w:rPr>
      </w:pPr>
      <w:r w:rsidRPr="00664B7D">
        <w:rPr>
          <w:rFonts w:cs="Arial"/>
          <w:b/>
        </w:rPr>
        <w:t>Liczba osób z niepełnosprawnościami objętych wsparciem w programie (osoby)</w:t>
      </w:r>
    </w:p>
    <w:p w14:paraId="3F03575B" w14:textId="77777777" w:rsidR="005F7108" w:rsidRPr="00664B7D" w:rsidRDefault="005F7108" w:rsidP="0077300C">
      <w:pPr>
        <w:spacing w:before="240"/>
        <w:ind w:left="426"/>
        <w:rPr>
          <w:rFonts w:cstheme="minorHAnsi"/>
        </w:rPr>
      </w:pPr>
      <w:r w:rsidRPr="00664B7D">
        <w:rPr>
          <w:rFonts w:cs="Arial"/>
        </w:rPr>
        <w:t>Za osoby z niepełnosprawnościami uznaje się osoby ni</w:t>
      </w:r>
      <w:r w:rsidRPr="00664B7D">
        <w:rPr>
          <w:rFonts w:cstheme="minorHAnsi"/>
        </w:rPr>
        <w:t>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w:t>
      </w:r>
      <w:r w:rsidR="00430A71" w:rsidRPr="00664B7D">
        <w:rPr>
          <w:rFonts w:cstheme="minorHAnsi"/>
        </w:rPr>
        <w:t xml:space="preserve"> </w:t>
      </w:r>
      <w:r w:rsidRPr="00664B7D">
        <w:rPr>
          <w:rFonts w:cstheme="minorHAnsi"/>
        </w:rPr>
        <w:t xml:space="preserve">z odpowiednim orzeczeniem lub innym dokumentem poświadczającym stan zdrowia. </w:t>
      </w:r>
    </w:p>
    <w:p w14:paraId="7E3B1918" w14:textId="77777777" w:rsidR="005F7108" w:rsidRPr="00664B7D" w:rsidRDefault="005F7108" w:rsidP="0077300C">
      <w:pPr>
        <w:ind w:left="426"/>
        <w:rPr>
          <w:rFonts w:cstheme="minorHAnsi"/>
        </w:rPr>
      </w:pPr>
      <w:r w:rsidRPr="00664B7D">
        <w:rPr>
          <w:rFonts w:cstheme="minorHAnsi"/>
        </w:rPr>
        <w:t xml:space="preserve">Przynależność do grupy osób z niepełnosprawnościami określana jest </w:t>
      </w:r>
      <w:r w:rsidRPr="00664B7D">
        <w:rPr>
          <w:rFonts w:cstheme="minorHAnsi"/>
          <w:b/>
          <w:bCs/>
        </w:rPr>
        <w:t>w momencie rozpoczęcia udziału w projekcie</w:t>
      </w:r>
      <w:r w:rsidRPr="00664B7D">
        <w:rPr>
          <w:rFonts w:cstheme="minorHAnsi"/>
        </w:rPr>
        <w:t>, tj. w chwili rozpoczęcia udziału w pierwszej formie wsparcia w projekcie.</w:t>
      </w:r>
    </w:p>
    <w:p w14:paraId="3C3EA228" w14:textId="6765E24D" w:rsidR="00430A71" w:rsidRPr="00664B7D" w:rsidRDefault="005F7108" w:rsidP="0077300C">
      <w:pPr>
        <w:ind w:left="426"/>
        <w:rPr>
          <w:rFonts w:cstheme="minorHAnsi"/>
        </w:rPr>
      </w:pPr>
      <w:r w:rsidRPr="00664B7D">
        <w:rPr>
          <w:rFonts w:eastAsia="Calibri" w:cs="Arial"/>
          <w:b/>
          <w:color w:val="2F5496"/>
        </w:rPr>
        <w:t>UWAGA!</w:t>
      </w:r>
      <w:r w:rsidRPr="00664B7D">
        <w:rPr>
          <w:rFonts w:cstheme="minorHAnsi"/>
        </w:rP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49DFBCDC" w14:textId="77777777" w:rsidR="005F7108" w:rsidRPr="00664B7D" w:rsidRDefault="005F7108" w:rsidP="00F15960">
      <w:pPr>
        <w:numPr>
          <w:ilvl w:val="0"/>
          <w:numId w:val="36"/>
        </w:numPr>
        <w:spacing w:after="0"/>
        <w:ind w:left="426" w:hanging="426"/>
        <w:contextualSpacing/>
        <w:rPr>
          <w:rFonts w:cstheme="minorHAnsi"/>
          <w:b/>
        </w:rPr>
      </w:pPr>
      <w:r w:rsidRPr="00664B7D">
        <w:rPr>
          <w:rFonts w:cstheme="minorHAnsi"/>
          <w:b/>
        </w:rPr>
        <w:t>Liczba osób z krajów trzecich objętych wsparciem w programie (osoby)</w:t>
      </w:r>
    </w:p>
    <w:p w14:paraId="275D2614" w14:textId="77777777" w:rsidR="005F7108" w:rsidRPr="00664B7D" w:rsidRDefault="005F7108" w:rsidP="0077300C">
      <w:pPr>
        <w:spacing w:after="0"/>
        <w:ind w:left="426"/>
        <w:rPr>
          <w:rFonts w:cstheme="minorHAnsi"/>
        </w:rPr>
      </w:pPr>
      <w:r w:rsidRPr="00664B7D">
        <w:rPr>
          <w:rFonts w:cstheme="minorHAnsi"/>
        </w:rPr>
        <w:t>Osoby, które są obywatelami krajów spoza UE. Do wskaźnika wlicza się też bezpaństwowców zgodnie z Konwencją o statusie bezpaństwowców z 1954 r. i osoby bez ustalonego obywatelstwa.</w:t>
      </w:r>
    </w:p>
    <w:p w14:paraId="3B8AA528" w14:textId="44B8D40B" w:rsidR="005F7108" w:rsidRPr="00664B7D" w:rsidRDefault="005F7108" w:rsidP="0077300C">
      <w:pPr>
        <w:spacing w:after="0"/>
        <w:ind w:left="426"/>
        <w:rPr>
          <w:rFonts w:cstheme="minorHAnsi"/>
        </w:rPr>
      </w:pPr>
      <w:r w:rsidRPr="00664B7D">
        <w:rPr>
          <w:rFonts w:cstheme="minorHAnsi"/>
        </w:rPr>
        <w:t xml:space="preserve">Przynależność do grupy osób z krajów trzecich określana jest </w:t>
      </w:r>
      <w:r w:rsidRPr="00664B7D">
        <w:rPr>
          <w:rFonts w:cstheme="minorHAnsi"/>
          <w:b/>
          <w:bCs/>
        </w:rPr>
        <w:t>w momencie rozpoczęcia udziału w projekcie</w:t>
      </w:r>
      <w:r w:rsidRPr="00664B7D">
        <w:rPr>
          <w:rFonts w:cstheme="minorHAnsi"/>
        </w:rPr>
        <w:t>, tj. w chwili rozpoczęcia udziału w pierwszej formie wsparcia w projekcie.</w:t>
      </w:r>
    </w:p>
    <w:p w14:paraId="01AB94C6" w14:textId="77777777" w:rsidR="008E4E85" w:rsidRPr="00664B7D" w:rsidRDefault="008E4E85" w:rsidP="0077300C">
      <w:pPr>
        <w:spacing w:after="0"/>
        <w:ind w:left="426" w:hanging="426"/>
        <w:rPr>
          <w:rFonts w:cstheme="minorHAnsi"/>
        </w:rPr>
      </w:pPr>
    </w:p>
    <w:p w14:paraId="50EECBD8" w14:textId="1279C877" w:rsidR="005F7108" w:rsidRPr="00664B7D" w:rsidRDefault="005F7108" w:rsidP="0077300C">
      <w:pPr>
        <w:spacing w:after="0"/>
        <w:ind w:left="426"/>
        <w:rPr>
          <w:rFonts w:cstheme="minorHAnsi"/>
        </w:rPr>
      </w:pPr>
      <w:r w:rsidRPr="00664B7D">
        <w:rPr>
          <w:rFonts w:eastAsia="Calibri" w:cs="Arial"/>
          <w:b/>
          <w:color w:val="2F5496"/>
        </w:rPr>
        <w:t>UWAGA!</w:t>
      </w:r>
      <w:r w:rsidRPr="00664B7D">
        <w:t xml:space="preserve"> </w:t>
      </w:r>
      <w:r w:rsidRPr="00664B7D">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650C28D6" w14:textId="77777777" w:rsidR="00B428A6" w:rsidRPr="00664B7D" w:rsidRDefault="00B428A6" w:rsidP="0077300C">
      <w:pPr>
        <w:spacing w:after="0"/>
        <w:ind w:left="426" w:hanging="426"/>
        <w:rPr>
          <w:rFonts w:cstheme="minorHAnsi"/>
        </w:rPr>
      </w:pPr>
    </w:p>
    <w:p w14:paraId="740EEEEA" w14:textId="77777777" w:rsidR="005F7108" w:rsidRPr="00664B7D" w:rsidRDefault="005F7108" w:rsidP="00F15960">
      <w:pPr>
        <w:numPr>
          <w:ilvl w:val="0"/>
          <w:numId w:val="36"/>
        </w:numPr>
        <w:spacing w:line="259" w:lineRule="auto"/>
        <w:ind w:left="426" w:hanging="426"/>
        <w:contextualSpacing/>
        <w:rPr>
          <w:rFonts w:cstheme="minorHAnsi"/>
          <w:b/>
        </w:rPr>
      </w:pPr>
      <w:r w:rsidRPr="00664B7D">
        <w:rPr>
          <w:rFonts w:cstheme="minorHAnsi"/>
          <w:b/>
        </w:rPr>
        <w:t>Liczba osób obcego pochodzenia objętych wsparciem w programie (osoby)</w:t>
      </w:r>
    </w:p>
    <w:p w14:paraId="7BF071DA" w14:textId="77777777" w:rsidR="005F7108" w:rsidRPr="00664B7D" w:rsidRDefault="005F7108" w:rsidP="00524F40">
      <w:pPr>
        <w:spacing w:before="240" w:after="120"/>
        <w:ind w:left="426"/>
        <w:rPr>
          <w:rFonts w:cstheme="minorHAnsi"/>
        </w:rPr>
      </w:pPr>
      <w:r w:rsidRPr="00664B7D">
        <w:rPr>
          <w:rFonts w:cstheme="minorHAnsi"/>
        </w:rPr>
        <w:t>Osoby obcego pochodzenia to cudzoziemcy - każda osoba, która nie posiada polskiego obywatelstwa, bez względu na fakt posiadania lub nie obywatelstwa (obywatelstw) innych krajów.</w:t>
      </w:r>
    </w:p>
    <w:p w14:paraId="524CB94C" w14:textId="77777777" w:rsidR="005F7108" w:rsidRPr="00664B7D" w:rsidRDefault="005F7108" w:rsidP="0077300C">
      <w:pPr>
        <w:spacing w:after="120"/>
        <w:ind w:left="426"/>
        <w:rPr>
          <w:rFonts w:cstheme="minorHAnsi"/>
        </w:rPr>
      </w:pPr>
      <w:r w:rsidRPr="00664B7D">
        <w:rPr>
          <w:rFonts w:cstheme="minorHAnsi"/>
        </w:rPr>
        <w:t xml:space="preserve">Wskaźnik nie obejmuje osób należących do mniejszości, których udział w projektach monitorowany jest wskaźnikiem </w:t>
      </w:r>
      <w:r w:rsidRPr="00664B7D">
        <w:rPr>
          <w:rFonts w:cstheme="minorHAnsi"/>
          <w:i/>
        </w:rPr>
        <w:t>liczba osób należących do mniejszości, w tym społeczności marginalizowanych takich jak Romowie, objętych wsparciem w programie</w:t>
      </w:r>
      <w:r w:rsidRPr="00664B7D">
        <w:rPr>
          <w:rFonts w:cstheme="minorHAnsi"/>
        </w:rPr>
        <w:t>.</w:t>
      </w:r>
    </w:p>
    <w:p w14:paraId="646D713F" w14:textId="77777777" w:rsidR="005F7108" w:rsidRPr="00664B7D" w:rsidRDefault="005F7108" w:rsidP="0077300C">
      <w:pPr>
        <w:spacing w:after="120"/>
        <w:ind w:left="426"/>
        <w:rPr>
          <w:rFonts w:cstheme="minorHAnsi"/>
        </w:rPr>
      </w:pPr>
      <w:r w:rsidRPr="00664B7D">
        <w:rPr>
          <w:rFonts w:cstheme="minorHAnsi"/>
        </w:rPr>
        <w:t xml:space="preserve">Przynależność do grupy osób obcego pochodzenia określana jest </w:t>
      </w:r>
      <w:r w:rsidRPr="00664B7D">
        <w:rPr>
          <w:rFonts w:cstheme="minorHAnsi"/>
          <w:b/>
          <w:bCs/>
        </w:rPr>
        <w:t>w momencie rozpoczęcia udziału w projekcie</w:t>
      </w:r>
      <w:r w:rsidRPr="00664B7D">
        <w:rPr>
          <w:rFonts w:cstheme="minorHAnsi"/>
        </w:rPr>
        <w:t>, tj. w chwili rozpoczęcia udziału w pierwszej formie wsparcia w projekcie.</w:t>
      </w:r>
    </w:p>
    <w:p w14:paraId="559E7984" w14:textId="08F9BC97" w:rsidR="005F7108" w:rsidRDefault="005F7108" w:rsidP="00964C38">
      <w:pPr>
        <w:spacing w:after="0"/>
        <w:ind w:left="426"/>
        <w:rPr>
          <w:rFonts w:cstheme="minorHAnsi"/>
        </w:rPr>
      </w:pPr>
      <w:r w:rsidRPr="00664B7D">
        <w:rPr>
          <w:rFonts w:eastAsia="Calibri" w:cs="Arial"/>
          <w:b/>
          <w:color w:val="2F5496"/>
        </w:rPr>
        <w:t>UWAGA!</w:t>
      </w:r>
      <w:r w:rsidRPr="00664B7D">
        <w:t xml:space="preserve"> </w:t>
      </w:r>
      <w:r w:rsidRPr="00664B7D">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6FC4B250" w14:textId="77777777" w:rsidR="00964C38" w:rsidRPr="00664B7D" w:rsidRDefault="00964C38" w:rsidP="00964C38">
      <w:pPr>
        <w:spacing w:after="0"/>
        <w:ind w:left="426"/>
        <w:rPr>
          <w:rFonts w:cstheme="minorHAnsi"/>
        </w:rPr>
      </w:pPr>
    </w:p>
    <w:p w14:paraId="3BA8B1EB" w14:textId="77777777" w:rsidR="005F7108" w:rsidRPr="00664B7D" w:rsidRDefault="005F7108" w:rsidP="00F15960">
      <w:pPr>
        <w:numPr>
          <w:ilvl w:val="0"/>
          <w:numId w:val="36"/>
        </w:numPr>
        <w:spacing w:after="0"/>
        <w:ind w:left="426" w:hanging="426"/>
        <w:contextualSpacing/>
        <w:rPr>
          <w:rFonts w:cstheme="minorHAnsi"/>
          <w:b/>
        </w:rPr>
      </w:pPr>
      <w:r w:rsidRPr="00664B7D">
        <w:rPr>
          <w:rFonts w:cstheme="minorHAnsi"/>
          <w:b/>
        </w:rPr>
        <w:t>Liczba osób należących do mniejszości, w tym społeczności marginalizowanych takich jak Romowie, objętych wsparciem w programie (osoby)</w:t>
      </w:r>
    </w:p>
    <w:p w14:paraId="51BE4C9A" w14:textId="7ED43046" w:rsidR="005F7108" w:rsidRPr="00664B7D" w:rsidRDefault="005F7108" w:rsidP="00524F40">
      <w:pPr>
        <w:spacing w:after="0"/>
        <w:ind w:left="426"/>
        <w:rPr>
          <w:rFonts w:cstheme="minorHAnsi"/>
        </w:rPr>
      </w:pPr>
      <w:r w:rsidRPr="00664B7D">
        <w:rPr>
          <w:rFonts w:cstheme="minorHAnsi"/>
        </w:rPr>
        <w:t>Wskaźnik obejmuje osoby należące do mniejszości narodowych i etnicznych biorące udział</w:t>
      </w:r>
      <w:r w:rsidR="00524F40">
        <w:rPr>
          <w:rFonts w:cstheme="minorHAnsi"/>
        </w:rPr>
        <w:t xml:space="preserve"> </w:t>
      </w:r>
      <w:r w:rsidRPr="00664B7D">
        <w:rPr>
          <w:rFonts w:cstheme="minorHAnsi"/>
        </w:rPr>
        <w:t>w projektach EFS+.</w:t>
      </w:r>
    </w:p>
    <w:p w14:paraId="0C8D8DAF" w14:textId="77777777" w:rsidR="005F7108" w:rsidRPr="00664B7D" w:rsidRDefault="005F7108" w:rsidP="00524F40">
      <w:pPr>
        <w:spacing w:after="0"/>
        <w:ind w:left="426"/>
        <w:rPr>
          <w:rFonts w:cstheme="minorHAnsi"/>
        </w:rPr>
      </w:pPr>
      <w:r w:rsidRPr="00664B7D">
        <w:rPr>
          <w:rFonts w:cstheme="minorHAnsi"/>
        </w:rPr>
        <w:t>Zgodnie z prawem krajowym mniejszości narodowe to mniejszość: białoruska, czeska, litewska, niemiecka, ormiańska, rosyjska, słowacka, ukraińska, żydowska. Mniejszości etniczne: karaimska, łemkowska, romska, tatarska.</w:t>
      </w:r>
    </w:p>
    <w:p w14:paraId="2D812EF8" w14:textId="77777777" w:rsidR="005F7108" w:rsidRPr="00664B7D" w:rsidRDefault="005F7108" w:rsidP="00524F40">
      <w:pPr>
        <w:spacing w:after="0"/>
        <w:ind w:left="426"/>
        <w:rPr>
          <w:rFonts w:cstheme="minorHAnsi"/>
        </w:rPr>
      </w:pPr>
      <w:r w:rsidRPr="00664B7D">
        <w:rPr>
          <w:rFonts w:cstheme="minorHAnsi"/>
        </w:rPr>
        <w:t xml:space="preserve">Przynależność do grupy osób należących do mniejszości określana jest </w:t>
      </w:r>
      <w:r w:rsidRPr="00664B7D">
        <w:rPr>
          <w:rFonts w:cstheme="minorHAnsi"/>
          <w:b/>
          <w:bCs/>
        </w:rPr>
        <w:t>w momencie rozpoczęcia udziału w projekcie,</w:t>
      </w:r>
      <w:r w:rsidRPr="00664B7D">
        <w:rPr>
          <w:rFonts w:cstheme="minorHAnsi"/>
        </w:rPr>
        <w:t xml:space="preserve"> tj. w chwili rozpoczęcia udziału w pierwszej formie wsparcia w projekcie.</w:t>
      </w:r>
    </w:p>
    <w:p w14:paraId="4FF3A301" w14:textId="55B5A803" w:rsidR="005F7108" w:rsidRDefault="005F7108" w:rsidP="00524F40">
      <w:pPr>
        <w:spacing w:after="0"/>
        <w:ind w:left="426"/>
        <w:rPr>
          <w:rFonts w:cstheme="minorHAnsi"/>
        </w:rPr>
      </w:pPr>
      <w:r w:rsidRPr="00664B7D">
        <w:rPr>
          <w:rFonts w:eastAsia="Calibri" w:cs="Arial"/>
          <w:b/>
          <w:color w:val="2F5496"/>
        </w:rPr>
        <w:t>UWAGA!</w:t>
      </w:r>
      <w:r w:rsidRPr="00664B7D">
        <w:t xml:space="preserve"> </w:t>
      </w:r>
      <w:r w:rsidRPr="00664B7D">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34FB59F4" w14:textId="77777777" w:rsidR="00964C38" w:rsidRPr="00664B7D" w:rsidRDefault="00964C38" w:rsidP="00964C38">
      <w:pPr>
        <w:spacing w:after="0"/>
        <w:ind w:left="284"/>
        <w:rPr>
          <w:rFonts w:cstheme="minorHAnsi"/>
        </w:rPr>
      </w:pPr>
    </w:p>
    <w:p w14:paraId="50C13F12" w14:textId="77777777" w:rsidR="005F7108" w:rsidRPr="00664B7D" w:rsidRDefault="005F7108" w:rsidP="00F15960">
      <w:pPr>
        <w:numPr>
          <w:ilvl w:val="0"/>
          <w:numId w:val="36"/>
        </w:numPr>
        <w:spacing w:after="0"/>
        <w:ind w:left="426" w:hanging="426"/>
        <w:contextualSpacing/>
        <w:rPr>
          <w:rFonts w:cstheme="minorHAnsi"/>
          <w:b/>
        </w:rPr>
      </w:pPr>
      <w:r w:rsidRPr="00664B7D">
        <w:rPr>
          <w:rFonts w:cstheme="minorHAnsi"/>
          <w:b/>
        </w:rPr>
        <w:t>Liczba osób w kryzysie bezdomności lub dotkniętych wykluczeniem z dostępu do mieszkań, objętych wsparciem w programie (osoby)</w:t>
      </w:r>
    </w:p>
    <w:p w14:paraId="209D69FC" w14:textId="77777777" w:rsidR="005F7108" w:rsidRPr="00664B7D" w:rsidRDefault="005F7108" w:rsidP="00964C38">
      <w:pPr>
        <w:spacing w:after="0"/>
        <w:ind w:left="426"/>
        <w:rPr>
          <w:rFonts w:cstheme="minorHAnsi"/>
        </w:rPr>
      </w:pPr>
      <w:r w:rsidRPr="00664B7D">
        <w:rPr>
          <w:rFonts w:cstheme="minorHAnsi"/>
        </w:rPr>
        <w:t>We wskaźniku wykazywane są osoby w kryzysie bezdomności lub dotknięte wykluczeniem z dostępu do mieszkań.</w:t>
      </w:r>
    </w:p>
    <w:p w14:paraId="51F7B739" w14:textId="77777777" w:rsidR="005F7108" w:rsidRPr="00664B7D" w:rsidRDefault="005F7108" w:rsidP="00964C38">
      <w:pPr>
        <w:spacing w:after="0"/>
        <w:ind w:left="426"/>
        <w:rPr>
          <w:rFonts w:cstheme="minorHAnsi"/>
        </w:rPr>
      </w:pPr>
      <w:r w:rsidRPr="00664B7D">
        <w:rPr>
          <w:rFonts w:cstheme="minorHAnsi"/>
        </w:rPr>
        <w:lastRenderedPageBreak/>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273CD4E8" w14:textId="77777777" w:rsidR="005F7108" w:rsidRPr="00664B7D" w:rsidRDefault="005F7108" w:rsidP="00F15960">
      <w:pPr>
        <w:numPr>
          <w:ilvl w:val="0"/>
          <w:numId w:val="35"/>
        </w:numPr>
        <w:spacing w:after="0"/>
        <w:ind w:left="567" w:hanging="425"/>
        <w:rPr>
          <w:rFonts w:cstheme="minorHAnsi"/>
        </w:rPr>
      </w:pPr>
      <w:r w:rsidRPr="00664B7D">
        <w:rPr>
          <w:rFonts w:cstheme="minorHAnsi"/>
        </w:rPr>
        <w:t>Bez dachu nad głową, w tym osoby żyjące w przestrzeni publicznej lub zakwaterowane interwencyjnie;</w:t>
      </w:r>
    </w:p>
    <w:p w14:paraId="63C0A1E5" w14:textId="77777777" w:rsidR="005F7108" w:rsidRPr="00664B7D" w:rsidRDefault="005F7108" w:rsidP="00F15960">
      <w:pPr>
        <w:numPr>
          <w:ilvl w:val="0"/>
          <w:numId w:val="35"/>
        </w:numPr>
        <w:spacing w:after="0"/>
        <w:ind w:left="567" w:hanging="425"/>
        <w:rPr>
          <w:rFonts w:cstheme="minorHAnsi"/>
        </w:rPr>
      </w:pPr>
      <w:r w:rsidRPr="00664B7D">
        <w:rPr>
          <w:rFonts w:cstheme="minorHAnsi"/>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700FB152" w14:textId="77777777" w:rsidR="005F7108" w:rsidRPr="00664B7D" w:rsidRDefault="005F7108" w:rsidP="00F15960">
      <w:pPr>
        <w:numPr>
          <w:ilvl w:val="0"/>
          <w:numId w:val="35"/>
        </w:numPr>
        <w:spacing w:after="0"/>
        <w:ind w:left="567" w:hanging="425"/>
        <w:rPr>
          <w:rFonts w:cstheme="minorHAnsi"/>
        </w:rPr>
      </w:pPr>
      <w:r w:rsidRPr="00664B7D">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5127C8B" w14:textId="77777777" w:rsidR="005F7108" w:rsidRPr="00664B7D" w:rsidRDefault="005F7108" w:rsidP="00F15960">
      <w:pPr>
        <w:numPr>
          <w:ilvl w:val="0"/>
          <w:numId w:val="35"/>
        </w:numPr>
        <w:spacing w:after="0"/>
        <w:ind w:left="567" w:hanging="425"/>
        <w:rPr>
          <w:rFonts w:cstheme="minorHAnsi"/>
        </w:rPr>
      </w:pPr>
      <w:r w:rsidRPr="00664B7D">
        <w:rPr>
          <w:rFonts w:cstheme="minorHAnsi"/>
        </w:rPr>
        <w:t xml:space="preserve">Nieodpowiednie warunki mieszkaniowe, w tym osoby zamieszkujące konstrukcje tymczasowe/nietrwałe, mieszkania </w:t>
      </w:r>
      <w:proofErr w:type="spellStart"/>
      <w:r w:rsidRPr="00664B7D">
        <w:rPr>
          <w:rFonts w:cstheme="minorHAnsi"/>
        </w:rPr>
        <w:t>substandardowe</w:t>
      </w:r>
      <w:proofErr w:type="spellEnd"/>
      <w:r w:rsidRPr="00664B7D">
        <w:rPr>
          <w:rFonts w:cstheme="minorHAnsi"/>
        </w:rPr>
        <w:t xml:space="preserve"> - lokale nienadające się do zamieszkania wg standardu krajowego, w warunkach skrajnego przeludnienia;</w:t>
      </w:r>
    </w:p>
    <w:p w14:paraId="5140ADBF" w14:textId="77777777" w:rsidR="005F7108" w:rsidRPr="00664B7D" w:rsidRDefault="005F7108" w:rsidP="00F15960">
      <w:pPr>
        <w:numPr>
          <w:ilvl w:val="0"/>
          <w:numId w:val="35"/>
        </w:numPr>
        <w:spacing w:after="0"/>
        <w:ind w:left="567" w:hanging="425"/>
        <w:rPr>
          <w:rFonts w:cstheme="minorHAnsi"/>
        </w:rPr>
      </w:pPr>
      <w:r w:rsidRPr="00664B7D">
        <w:rPr>
          <w:rFonts w:cstheme="minorHAnsi"/>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39565CA4" w14:textId="77777777" w:rsidR="005F7108" w:rsidRPr="00664B7D" w:rsidRDefault="005F7108" w:rsidP="00790DF9">
      <w:pPr>
        <w:spacing w:after="120"/>
        <w:ind w:left="426"/>
        <w:rPr>
          <w:rFonts w:cstheme="minorHAnsi"/>
        </w:rPr>
      </w:pPr>
      <w:r w:rsidRPr="00664B7D">
        <w:rPr>
          <w:rFonts w:cstheme="minorHAnsi"/>
        </w:rPr>
        <w:t>Osoby dorosłe mieszkające z rodzicami nie powinny być wykazywane we wskaźniku, chyba że wszystkie te osoby są w kryzysie bezdomności lub mieszkają w nieodpowiednich i niebezpiecznych warunkach.</w:t>
      </w:r>
    </w:p>
    <w:p w14:paraId="412CDAC4" w14:textId="77777777" w:rsidR="005F7108" w:rsidRPr="00664B7D" w:rsidRDefault="005F7108" w:rsidP="00790DF9">
      <w:pPr>
        <w:spacing w:after="120"/>
        <w:ind w:left="426"/>
        <w:rPr>
          <w:rFonts w:cstheme="minorHAnsi"/>
        </w:rPr>
      </w:pPr>
      <w:r w:rsidRPr="00664B7D">
        <w:rPr>
          <w:rFonts w:cstheme="minorHAnsi"/>
        </w:rPr>
        <w:t xml:space="preserve">Przynależność do grupy osób w kryzysie bezdomności lub dotkniętych wykluczeniem z dostępu do mieszkań określana jest </w:t>
      </w:r>
      <w:r w:rsidRPr="00664B7D">
        <w:rPr>
          <w:rFonts w:cstheme="minorHAnsi"/>
          <w:b/>
          <w:bCs/>
        </w:rPr>
        <w:t>w momencie rozpoczęcia udziału w projekcie</w:t>
      </w:r>
      <w:r w:rsidRPr="00664B7D">
        <w:rPr>
          <w:rFonts w:cstheme="minorHAnsi"/>
        </w:rPr>
        <w:t>, tj. w chwili rozpoczęcia udziału w pierwszej formie wsparcia w projekcie.</w:t>
      </w:r>
    </w:p>
    <w:p w14:paraId="70D16D36" w14:textId="0B58EB25" w:rsidR="005F7108" w:rsidRDefault="005F7108" w:rsidP="00964C38">
      <w:pPr>
        <w:spacing w:after="0"/>
        <w:ind w:left="425"/>
        <w:rPr>
          <w:rFonts w:cstheme="minorHAnsi"/>
        </w:rPr>
      </w:pPr>
      <w:r w:rsidRPr="00664B7D">
        <w:rPr>
          <w:rFonts w:eastAsia="Calibri" w:cs="Arial"/>
          <w:b/>
          <w:color w:val="2F5496"/>
        </w:rPr>
        <w:t>UWAGA!</w:t>
      </w:r>
      <w:r w:rsidRPr="00664B7D">
        <w:t xml:space="preserve"> </w:t>
      </w:r>
      <w:r w:rsidRPr="00664B7D">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6D41930D" w14:textId="77777777" w:rsidR="00964C38" w:rsidRPr="00664B7D" w:rsidRDefault="00964C38" w:rsidP="00964C38">
      <w:pPr>
        <w:spacing w:after="0"/>
        <w:ind w:left="425"/>
        <w:rPr>
          <w:rFonts w:cstheme="minorHAnsi"/>
        </w:rPr>
      </w:pPr>
    </w:p>
    <w:p w14:paraId="2D57B2EB" w14:textId="77777777" w:rsidR="005F7108" w:rsidRPr="00664B7D" w:rsidRDefault="005F7108" w:rsidP="00F15960">
      <w:pPr>
        <w:numPr>
          <w:ilvl w:val="0"/>
          <w:numId w:val="36"/>
        </w:numPr>
        <w:spacing w:after="0"/>
        <w:ind w:left="425" w:hanging="398"/>
        <w:contextualSpacing/>
        <w:rPr>
          <w:rFonts w:cstheme="minorHAnsi"/>
          <w:b/>
        </w:rPr>
      </w:pPr>
      <w:r w:rsidRPr="00664B7D">
        <w:rPr>
          <w:rFonts w:cstheme="minorHAnsi"/>
          <w:b/>
        </w:rPr>
        <w:lastRenderedPageBreak/>
        <w:t>Liczba projektów, w których sfinansowano koszty racjonalnych usprawnień dla osób z niepełnosprawnościami (sztuki)</w:t>
      </w:r>
    </w:p>
    <w:p w14:paraId="1877B66B" w14:textId="5E36E845" w:rsidR="005F7108" w:rsidRPr="00664B7D" w:rsidRDefault="005F7108" w:rsidP="00964C38">
      <w:pPr>
        <w:spacing w:after="0"/>
        <w:ind w:left="426"/>
        <w:rPr>
          <w:rFonts w:cstheme="minorHAnsi"/>
        </w:rPr>
      </w:pPr>
      <w:r w:rsidRPr="00664B7D">
        <w:rPr>
          <w:rFonts w:cstheme="minorHAnsi"/>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w:t>
      </w:r>
      <w:r w:rsidR="00385799">
        <w:rPr>
          <w:rFonts w:cstheme="minorHAnsi"/>
        </w:rPr>
        <w:t xml:space="preserve"> </w:t>
      </w:r>
      <w:r w:rsidRPr="00664B7D">
        <w:rPr>
          <w:rFonts w:cstheme="minorHAnsi"/>
        </w:rPr>
        <w:t>z innymi osobami.</w:t>
      </w:r>
    </w:p>
    <w:p w14:paraId="439DE091" w14:textId="77777777" w:rsidR="005F7108" w:rsidRPr="00664B7D" w:rsidRDefault="005F7108" w:rsidP="00964C38">
      <w:pPr>
        <w:spacing w:after="0"/>
        <w:ind w:left="425"/>
        <w:rPr>
          <w:rFonts w:cstheme="minorHAnsi"/>
        </w:rPr>
      </w:pPr>
      <w:r w:rsidRPr="00664B7D">
        <w:rPr>
          <w:rFonts w:cstheme="minorHAnsi"/>
        </w:rPr>
        <w:t>Oznacza także możliwość sfinansowania specyficznych działań dostosowawczych, uruchamianych wraz z pojawieniem się w projekcie (w charakterze uczestnika lub personelu) osoby z niepełnosprawnością.</w:t>
      </w:r>
    </w:p>
    <w:p w14:paraId="1ABCEF46" w14:textId="77777777" w:rsidR="005F7108" w:rsidRPr="00664B7D" w:rsidRDefault="005F7108" w:rsidP="00964C38">
      <w:pPr>
        <w:spacing w:after="0"/>
        <w:ind w:left="425"/>
        <w:rPr>
          <w:rFonts w:cstheme="minorHAnsi"/>
        </w:rPr>
      </w:pPr>
      <w:r w:rsidRPr="00664B7D">
        <w:rPr>
          <w:rFonts w:cstheme="minorHAnsi"/>
        </w:rPr>
        <w:t>Wskaźnik mierzony w momencie rozliczenia wydatku związanego z racjonalnymi usprawnieniami w ramach danego projektu.</w:t>
      </w:r>
    </w:p>
    <w:p w14:paraId="5D3406AD" w14:textId="77777777" w:rsidR="005F7108" w:rsidRPr="00664B7D" w:rsidRDefault="005F7108" w:rsidP="00964C38">
      <w:pPr>
        <w:spacing w:after="0"/>
        <w:ind w:left="425"/>
        <w:rPr>
          <w:rFonts w:cstheme="minorHAnsi"/>
        </w:rPr>
      </w:pPr>
      <w:r w:rsidRPr="00664B7D">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FF1082B" w14:textId="6F620B96" w:rsidR="005F7108" w:rsidRPr="00664B7D" w:rsidRDefault="005F7108" w:rsidP="00964C38">
      <w:pPr>
        <w:spacing w:after="0"/>
        <w:ind w:left="425"/>
        <w:rPr>
          <w:rFonts w:cstheme="minorHAnsi"/>
        </w:rPr>
      </w:pPr>
      <w:r w:rsidRPr="00664B7D">
        <w:rPr>
          <w:rFonts w:cstheme="minorHAnsi"/>
        </w:rPr>
        <w:t xml:space="preserve">Do wskaźnika powinny zostać wliczone zarówno projekty ogólnodostępne, w których sfinansowano koszty racjonalnych usprawnień, jak i dedykowane </w:t>
      </w:r>
      <w:r w:rsidRPr="00664B7D">
        <w:rPr>
          <w:rFonts w:cs="Arial"/>
        </w:rPr>
        <w:t xml:space="preserve">(zgodnie z kategoryzacją projektów z Wytycznych w zakresie realizacji zasad równościowych </w:t>
      </w:r>
      <w:r w:rsidR="008D6571">
        <w:rPr>
          <w:rFonts w:cs="Arial"/>
        </w:rPr>
        <w:br/>
      </w:r>
      <w:r w:rsidRPr="00664B7D">
        <w:rPr>
          <w:rFonts w:cs="Arial"/>
        </w:rPr>
        <w:t>w ramach funduszy unijnych na lata 2021-2027).</w:t>
      </w:r>
    </w:p>
    <w:p w14:paraId="4CD333FC" w14:textId="04D5D47D" w:rsidR="005F7108" w:rsidRDefault="005F7108" w:rsidP="00964C38">
      <w:pPr>
        <w:spacing w:after="0"/>
        <w:ind w:left="425"/>
        <w:rPr>
          <w:rFonts w:cs="Arial"/>
        </w:rPr>
      </w:pPr>
      <w:r w:rsidRPr="00664B7D">
        <w:rPr>
          <w:rFonts w:cstheme="minorHAnsi"/>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r w:rsidRPr="00664B7D">
        <w:rPr>
          <w:rFonts w:cs="Arial"/>
        </w:rPr>
        <w:t xml:space="preserve"> Definicja na podstawie:</w:t>
      </w:r>
      <w:r w:rsidRPr="00664B7D">
        <w:t xml:space="preserve"> </w:t>
      </w:r>
      <w:r w:rsidRPr="00664B7D">
        <w:rPr>
          <w:rFonts w:cs="Arial"/>
        </w:rPr>
        <w:t>Wytyczne w zakresie realizacji zasad równościowych w ramach funduszy unijnych na lata 2021-2027.</w:t>
      </w:r>
    </w:p>
    <w:p w14:paraId="1A457D01" w14:textId="77777777" w:rsidR="00964C38" w:rsidRPr="00664B7D" w:rsidRDefault="00964C38" w:rsidP="00964C38">
      <w:pPr>
        <w:spacing w:after="0"/>
        <w:ind w:left="425"/>
        <w:rPr>
          <w:rFonts w:cstheme="minorHAnsi"/>
        </w:rPr>
      </w:pPr>
    </w:p>
    <w:p w14:paraId="5D7E26A2" w14:textId="77777777" w:rsidR="005F7108" w:rsidRPr="00664B7D" w:rsidRDefault="005F7108" w:rsidP="00F15960">
      <w:pPr>
        <w:numPr>
          <w:ilvl w:val="0"/>
          <w:numId w:val="36"/>
        </w:numPr>
        <w:spacing w:line="259" w:lineRule="auto"/>
        <w:ind w:left="426" w:hanging="398"/>
        <w:contextualSpacing/>
        <w:rPr>
          <w:rFonts w:cstheme="minorHAnsi"/>
          <w:b/>
        </w:rPr>
      </w:pPr>
      <w:r w:rsidRPr="00664B7D">
        <w:rPr>
          <w:rFonts w:cstheme="minorHAnsi"/>
          <w:b/>
        </w:rPr>
        <w:t>Liczba obiektów dostosowanych do potrzeb osób z niepełnosprawnościami (sztuki)</w:t>
      </w:r>
    </w:p>
    <w:p w14:paraId="4B9CF7C2" w14:textId="60585267" w:rsidR="005F7108" w:rsidRPr="00664B7D" w:rsidRDefault="005F7108" w:rsidP="00964C38">
      <w:pPr>
        <w:spacing w:after="0"/>
        <w:ind w:left="425"/>
        <w:rPr>
          <w:rFonts w:cstheme="minorHAnsi"/>
        </w:rPr>
      </w:pPr>
      <w:r w:rsidRPr="00664B7D">
        <w:rPr>
          <w:rFonts w:cstheme="minorHAns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w:t>
      </w:r>
      <w:r w:rsidR="007E5404">
        <w:rPr>
          <w:rFonts w:cstheme="minorHAnsi"/>
        </w:rPr>
        <w:t xml:space="preserve"> </w:t>
      </w:r>
      <w:r w:rsidRPr="00664B7D">
        <w:rPr>
          <w:rFonts w:cstheme="minorHAnsi"/>
        </w:rPr>
        <w:t>i poruszanie się po nich osobom z niepełnosprawnościami, w szczególności ruchowymi czy sensorycznymi.</w:t>
      </w:r>
    </w:p>
    <w:p w14:paraId="5FD99E53" w14:textId="77777777" w:rsidR="005F7108" w:rsidRPr="00664B7D" w:rsidRDefault="005F7108" w:rsidP="00964C38">
      <w:pPr>
        <w:spacing w:after="0"/>
        <w:ind w:left="425"/>
        <w:rPr>
          <w:rFonts w:cstheme="minorHAnsi"/>
        </w:rPr>
      </w:pPr>
      <w:r w:rsidRPr="00664B7D">
        <w:rPr>
          <w:rFonts w:cstheme="minorHAnsi"/>
        </w:rPr>
        <w:t>Jako obiekty należy rozumieć konstrukcje połączone z gruntem w sposób trwały, wykonane z materiałów budowlanych i elementów składowych, będące wynikiem prac budowlanych (wg. def. PKOB).</w:t>
      </w:r>
    </w:p>
    <w:p w14:paraId="3A9BAF9E" w14:textId="77777777" w:rsidR="005F7108" w:rsidRPr="00664B7D" w:rsidRDefault="005F7108" w:rsidP="00964C38">
      <w:pPr>
        <w:spacing w:after="0"/>
        <w:ind w:left="425"/>
        <w:rPr>
          <w:rFonts w:cstheme="minorHAnsi"/>
        </w:rPr>
      </w:pPr>
      <w:r w:rsidRPr="00664B7D">
        <w:rPr>
          <w:rFonts w:cstheme="minorHAnsi"/>
        </w:rPr>
        <w:lastRenderedPageBreak/>
        <w:t>Należy podać liczbę obiektów, a nie sprzętów, urządzeń itp., w które obiekty zaopatrzono. Jeśli instytucja, zakład itp. składa się z kilku obiektów, należy zliczyć wszystkie, które dostosowano do potrzeb osób z niepełnosprawnościami.</w:t>
      </w:r>
    </w:p>
    <w:p w14:paraId="01AD1599" w14:textId="77777777" w:rsidR="005F7108" w:rsidRPr="00664B7D" w:rsidRDefault="005F7108" w:rsidP="00964C38">
      <w:pPr>
        <w:spacing w:after="0"/>
        <w:ind w:left="425"/>
        <w:rPr>
          <w:rFonts w:cstheme="minorHAnsi"/>
        </w:rPr>
      </w:pPr>
      <w:r w:rsidRPr="00664B7D">
        <w:rPr>
          <w:rFonts w:cstheme="minorHAnsi"/>
        </w:rPr>
        <w:t>Wskaźnik mierzony w momencie rozliczenia wydatku związanego z wyposażeniem obiektów w rozwiązania służące osobom z niepełnosprawnościami w ramach danego projektu.</w:t>
      </w:r>
    </w:p>
    <w:p w14:paraId="68222FD9" w14:textId="4C2809B2" w:rsidR="005F7108" w:rsidRDefault="005F7108" w:rsidP="00964C38">
      <w:pPr>
        <w:spacing w:after="0"/>
        <w:ind w:left="425"/>
        <w:rPr>
          <w:rFonts w:cstheme="minorHAnsi"/>
        </w:rPr>
      </w:pPr>
      <w:r w:rsidRPr="00664B7D">
        <w:rPr>
          <w:rFonts w:cstheme="minorHAnsi"/>
        </w:rPr>
        <w:t>Do wskaźnika powinny zostać wliczone zarówno obiekty dostosowane w projektach ogólnodostępnych, jak i dedykowanych.</w:t>
      </w:r>
    </w:p>
    <w:p w14:paraId="3708D2C6" w14:textId="77777777" w:rsidR="00964C38" w:rsidRPr="00664B7D" w:rsidRDefault="00964C38" w:rsidP="00964C38">
      <w:pPr>
        <w:spacing w:after="0"/>
        <w:ind w:left="425"/>
        <w:rPr>
          <w:rFonts w:cstheme="minorHAnsi"/>
        </w:rPr>
      </w:pPr>
    </w:p>
    <w:p w14:paraId="02928A8E" w14:textId="77777777" w:rsidR="005F7108" w:rsidRPr="00664B7D" w:rsidRDefault="005F7108" w:rsidP="00F15960">
      <w:pPr>
        <w:numPr>
          <w:ilvl w:val="0"/>
          <w:numId w:val="36"/>
        </w:numPr>
        <w:spacing w:after="0"/>
        <w:ind w:left="425" w:hanging="398"/>
        <w:contextualSpacing/>
        <w:rPr>
          <w:rFonts w:cstheme="minorHAnsi"/>
          <w:b/>
        </w:rPr>
      </w:pPr>
      <w:r w:rsidRPr="00664B7D">
        <w:rPr>
          <w:rFonts w:cstheme="minorHAnsi"/>
          <w:b/>
        </w:rPr>
        <w:t>Liczba objętych wsparciem podmiotów administracji publicznej lub służb publicznych na szczeblu krajowym, regionalnym lub lokalnym (podmioty)</w:t>
      </w:r>
    </w:p>
    <w:p w14:paraId="4ADA1139" w14:textId="77777777" w:rsidR="005F7108" w:rsidRPr="00664B7D" w:rsidRDefault="005F7108" w:rsidP="00964C38">
      <w:pPr>
        <w:spacing w:after="0"/>
        <w:ind w:left="425"/>
        <w:rPr>
          <w:rFonts w:cstheme="minorHAnsi"/>
        </w:rPr>
      </w:pPr>
      <w:r w:rsidRPr="00664B7D">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2AD394EC" w14:textId="77777777" w:rsidR="005F7108" w:rsidRPr="00664B7D" w:rsidRDefault="005F7108" w:rsidP="00964C38">
      <w:pPr>
        <w:spacing w:after="0"/>
        <w:ind w:left="425"/>
        <w:rPr>
          <w:rFonts w:cstheme="minorHAnsi"/>
        </w:rPr>
      </w:pPr>
      <w:r w:rsidRPr="00664B7D">
        <w:rPr>
          <w:rFonts w:cstheme="minorHAnsi"/>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1204EAB8" w14:textId="77777777" w:rsidR="005F7108" w:rsidRPr="00664B7D" w:rsidRDefault="005F7108" w:rsidP="00964C38">
      <w:pPr>
        <w:spacing w:after="0"/>
        <w:ind w:left="425"/>
        <w:rPr>
          <w:rFonts w:cstheme="minorHAnsi"/>
        </w:rPr>
      </w:pPr>
      <w:r w:rsidRPr="00664B7D">
        <w:rPr>
          <w:rFonts w:cstheme="minorHAnsi"/>
        </w:rPr>
        <w:t>Informacje dotyczące podmiotów objętych wsparciem powinny pochodzić z dokumentów administracyjnych np. z umów o dofinansowanie.</w:t>
      </w:r>
    </w:p>
    <w:p w14:paraId="61AD452C" w14:textId="77777777" w:rsidR="005F7108" w:rsidRPr="00664B7D" w:rsidRDefault="005F7108" w:rsidP="00964C38">
      <w:pPr>
        <w:spacing w:after="0"/>
        <w:ind w:left="425"/>
        <w:rPr>
          <w:rFonts w:cstheme="minorHAnsi"/>
        </w:rPr>
      </w:pPr>
      <w:r w:rsidRPr="00664B7D">
        <w:rPr>
          <w:rFonts w:cstheme="minorHAnsi"/>
        </w:rPr>
        <w:t xml:space="preserve">Do wskaźnika wliczane są tylko te podmioty, dla których można wyróżnić wydatki. </w:t>
      </w:r>
    </w:p>
    <w:p w14:paraId="4F4388E4" w14:textId="688AB8FD" w:rsidR="002D53AF" w:rsidRDefault="005F7108" w:rsidP="00964C38">
      <w:pPr>
        <w:spacing w:after="0"/>
        <w:ind w:left="425"/>
        <w:rPr>
          <w:rFonts w:cstheme="minorHAnsi"/>
        </w:rPr>
      </w:pPr>
      <w:r w:rsidRPr="00664B7D">
        <w:rPr>
          <w:rFonts w:cstheme="minorHAnsi"/>
        </w:rPr>
        <w:t>Podmiot jest wliczany do wskaźnika w momencie rozpoczęcia udziału w projekcie.</w:t>
      </w:r>
    </w:p>
    <w:p w14:paraId="2CE7B18E" w14:textId="77777777" w:rsidR="00964C38" w:rsidRPr="00664B7D" w:rsidRDefault="00964C38" w:rsidP="00964C38">
      <w:pPr>
        <w:spacing w:after="0"/>
        <w:ind w:left="425"/>
        <w:rPr>
          <w:rFonts w:cstheme="minorHAnsi"/>
        </w:rPr>
      </w:pPr>
    </w:p>
    <w:p w14:paraId="009A2764" w14:textId="638AF553" w:rsidR="006F3FE0" w:rsidRPr="00664B7D" w:rsidRDefault="00964C38" w:rsidP="00964C38">
      <w:pPr>
        <w:spacing w:after="0"/>
        <w:contextualSpacing/>
        <w:rPr>
          <w:rFonts w:cstheme="minorHAnsi"/>
          <w:b/>
        </w:rPr>
      </w:pPr>
      <w:r>
        <w:rPr>
          <w:rFonts w:cstheme="minorHAnsi"/>
          <w:b/>
        </w:rPr>
        <w:t xml:space="preserve">IV </w:t>
      </w:r>
      <w:r w:rsidR="006F3FE0" w:rsidRPr="00664B7D">
        <w:rPr>
          <w:rFonts w:cstheme="minorHAnsi"/>
          <w:b/>
        </w:rPr>
        <w:t>Wskaźniki specyficzne dla projektu</w:t>
      </w:r>
    </w:p>
    <w:p w14:paraId="34E5E525" w14:textId="77777777" w:rsidR="006F3FE0" w:rsidRPr="00664B7D" w:rsidRDefault="006F3FE0" w:rsidP="00964C38">
      <w:pPr>
        <w:spacing w:after="0"/>
        <w:rPr>
          <w:rFonts w:cstheme="minorHAnsi"/>
        </w:rPr>
      </w:pPr>
    </w:p>
    <w:p w14:paraId="729490A9" w14:textId="77777777" w:rsidR="006F3FE0" w:rsidRPr="00664B7D" w:rsidRDefault="006F3FE0" w:rsidP="00964C38">
      <w:pPr>
        <w:spacing w:after="0"/>
        <w:rPr>
          <w:rFonts w:cstheme="minorHAnsi"/>
        </w:rPr>
      </w:pPr>
      <w:r w:rsidRPr="00664B7D">
        <w:rPr>
          <w:rFonts w:cstheme="minorHAnsi"/>
        </w:rPr>
        <w:t>Wskaźniki specyficzne dla projektu określane są przez Beneficjenta i uwzględniają specyfikę danego projektu oraz podlegają monitorowaniu i rozliczeniu wyłącznie na poziomie projektu.</w:t>
      </w:r>
    </w:p>
    <w:p w14:paraId="660AC89D" w14:textId="77777777" w:rsidR="004451E6" w:rsidRDefault="004451E6">
      <w:pPr>
        <w:spacing w:line="259" w:lineRule="auto"/>
        <w:rPr>
          <w:rFonts w:eastAsia="Calibri" w:cs="Arial"/>
          <w:b/>
          <w:sz w:val="24"/>
          <w:szCs w:val="24"/>
        </w:rPr>
      </w:pPr>
      <w:r>
        <w:br w:type="page"/>
      </w:r>
    </w:p>
    <w:p w14:paraId="6CE77FD9" w14:textId="4A597C85" w:rsidR="00E15D13" w:rsidRPr="00664B7D" w:rsidRDefault="00E15D13" w:rsidP="004451E6">
      <w:pPr>
        <w:pStyle w:val="Podrozdzia-K"/>
      </w:pPr>
      <w:bookmarkStart w:id="26" w:name="_Toc145936722"/>
      <w:r w:rsidRPr="00664B7D">
        <w:lastRenderedPageBreak/>
        <w:t>Zasady horyzontalne</w:t>
      </w:r>
      <w:bookmarkEnd w:id="26"/>
    </w:p>
    <w:p w14:paraId="08208CB0" w14:textId="77777777" w:rsidR="0072111B" w:rsidRPr="00664B7D" w:rsidRDefault="009831EA" w:rsidP="004451E6">
      <w:pPr>
        <w:pStyle w:val="Nagwek-K"/>
      </w:pPr>
      <w:r w:rsidRPr="004451E6">
        <w:t>Należy</w:t>
      </w:r>
      <w:r w:rsidRPr="00664B7D">
        <w:t xml:space="preserve"> pamiętać, że projekt musi być zgodny z:</w:t>
      </w:r>
    </w:p>
    <w:p w14:paraId="63C2024B" w14:textId="77777777" w:rsidR="0072111B" w:rsidRPr="00664B7D" w:rsidRDefault="0003320F" w:rsidP="001619AD">
      <w:pPr>
        <w:pStyle w:val="Akapitzlist"/>
        <w:numPr>
          <w:ilvl w:val="0"/>
          <w:numId w:val="21"/>
        </w:numPr>
        <w:spacing w:after="0"/>
        <w:ind w:left="426" w:hanging="426"/>
        <w:rPr>
          <w:rFonts w:eastAsia="Calibri" w:cs="Arial"/>
          <w:b/>
          <w:bCs/>
          <w:color w:val="000000"/>
        </w:rPr>
      </w:pPr>
      <w:r w:rsidRPr="00664B7D">
        <w:rPr>
          <w:rFonts w:eastAsia="Calibri" w:cs="Arial"/>
          <w:color w:val="000000"/>
        </w:rPr>
        <w:t>Kartą Praw Podstawowych Unii Europejskiej z dnia 26 października 2012 r. (kryterium ogólne zerojedynkowe nr 1),</w:t>
      </w:r>
    </w:p>
    <w:p w14:paraId="24DEE697" w14:textId="77777777" w:rsidR="0072111B" w:rsidRPr="00664B7D" w:rsidRDefault="0003320F" w:rsidP="001619AD">
      <w:pPr>
        <w:pStyle w:val="Akapitzlist"/>
        <w:numPr>
          <w:ilvl w:val="0"/>
          <w:numId w:val="21"/>
        </w:numPr>
        <w:spacing w:after="0"/>
        <w:ind w:left="426" w:hanging="426"/>
        <w:rPr>
          <w:rFonts w:eastAsia="Calibri" w:cs="Arial"/>
          <w:b/>
          <w:bCs/>
          <w:color w:val="000000"/>
        </w:rPr>
      </w:pPr>
      <w:r w:rsidRPr="00664B7D">
        <w:rPr>
          <w:rFonts w:eastAsia="Calibri" w:cs="Arial"/>
          <w:color w:val="000000"/>
        </w:rPr>
        <w:t>Konwencją o Prawach Osób Niepełnosprawnych, sporządzoną w Nowym Jorku dnia 13 grudnia 2006 r. (kryterium ogólne zerojedynkowe nr 2),</w:t>
      </w:r>
    </w:p>
    <w:p w14:paraId="1641058D" w14:textId="77777777" w:rsidR="0072111B" w:rsidRPr="00664B7D" w:rsidRDefault="0003320F" w:rsidP="001619AD">
      <w:pPr>
        <w:pStyle w:val="Akapitzlist"/>
        <w:numPr>
          <w:ilvl w:val="0"/>
          <w:numId w:val="21"/>
        </w:numPr>
        <w:spacing w:after="0"/>
        <w:ind w:left="426" w:hanging="426"/>
        <w:rPr>
          <w:rFonts w:eastAsia="Calibri" w:cs="Arial"/>
          <w:b/>
          <w:bCs/>
          <w:color w:val="000000"/>
        </w:rPr>
      </w:pPr>
      <w:r w:rsidRPr="00664B7D">
        <w:rPr>
          <w:rFonts w:eastAsia="Calibri" w:cs="Arial"/>
          <w:color w:val="000000"/>
        </w:rPr>
        <w:t>Konwencją o Prawach Dziecka przyjętą przez Zgromadzenie Ogólne Narodów Zjednoczonych z dnia 20 listopada 1989 r. (kryterium ogólne zerojedynkowe 3),</w:t>
      </w:r>
    </w:p>
    <w:p w14:paraId="577EABC4" w14:textId="77777777" w:rsidR="0072111B" w:rsidRPr="00664B7D" w:rsidRDefault="0003320F" w:rsidP="001619AD">
      <w:pPr>
        <w:pStyle w:val="Akapitzlist"/>
        <w:numPr>
          <w:ilvl w:val="0"/>
          <w:numId w:val="21"/>
        </w:numPr>
        <w:spacing w:after="0"/>
        <w:ind w:left="426" w:hanging="426"/>
        <w:rPr>
          <w:rFonts w:eastAsia="Calibri" w:cs="Arial"/>
          <w:b/>
          <w:bCs/>
          <w:color w:val="000000"/>
        </w:rPr>
      </w:pPr>
      <w:r w:rsidRPr="00664B7D">
        <w:rPr>
          <w:rFonts w:eastAsia="Calibri" w:cs="Arial"/>
          <w:color w:val="000000"/>
        </w:rPr>
        <w:t>zasadą równości szans i niedyskryminacji, w tym z dostępnością dla osób z niepełnosprawnościami (kryterium ogólne zerojedynkowe nr 4),</w:t>
      </w:r>
    </w:p>
    <w:p w14:paraId="31906B3A" w14:textId="77777777" w:rsidR="0072111B" w:rsidRPr="00664B7D" w:rsidRDefault="0003320F" w:rsidP="001619AD">
      <w:pPr>
        <w:pStyle w:val="Akapitzlist"/>
        <w:numPr>
          <w:ilvl w:val="0"/>
          <w:numId w:val="21"/>
        </w:numPr>
        <w:spacing w:after="0"/>
        <w:ind w:left="426" w:hanging="426"/>
        <w:rPr>
          <w:rFonts w:eastAsia="Calibri" w:cs="Arial"/>
          <w:b/>
          <w:bCs/>
          <w:color w:val="000000"/>
        </w:rPr>
      </w:pPr>
      <w:r w:rsidRPr="00664B7D">
        <w:rPr>
          <w:rFonts w:eastAsia="Calibri" w:cs="Arial"/>
          <w:color w:val="000000"/>
        </w:rPr>
        <w:t>zasadą równości kobiet i mężczyzn (kryterium ogólne zerojedynkowe nr 5),</w:t>
      </w:r>
    </w:p>
    <w:p w14:paraId="0C6E4E90" w14:textId="77777777" w:rsidR="0072111B" w:rsidRPr="00664B7D" w:rsidRDefault="0072111B" w:rsidP="001619AD">
      <w:pPr>
        <w:pStyle w:val="Akapitzlist"/>
        <w:numPr>
          <w:ilvl w:val="0"/>
          <w:numId w:val="21"/>
        </w:numPr>
        <w:spacing w:after="0"/>
        <w:ind w:left="426" w:hanging="426"/>
        <w:rPr>
          <w:rFonts w:eastAsia="Calibri" w:cs="Arial"/>
          <w:b/>
          <w:bCs/>
          <w:color w:val="000000"/>
        </w:rPr>
      </w:pPr>
      <w:r w:rsidRPr="00664B7D">
        <w:t>za</w:t>
      </w:r>
      <w:r w:rsidR="0003320F" w:rsidRPr="00664B7D">
        <w:t xml:space="preserve">sadą dotyczącą przestrzegania przepisów antydyskryminacyjnych </w:t>
      </w:r>
      <w:r w:rsidR="0003320F" w:rsidRPr="00664B7D">
        <w:rPr>
          <w:rFonts w:eastAsia="Calibri" w:cs="Arial"/>
          <w:color w:val="000000"/>
        </w:rPr>
        <w:t>(kryterium ogólne zerojedynkowe nr 6),</w:t>
      </w:r>
    </w:p>
    <w:p w14:paraId="7EC8B084" w14:textId="77777777" w:rsidR="0072111B" w:rsidRPr="00664B7D" w:rsidRDefault="0003320F" w:rsidP="001619AD">
      <w:pPr>
        <w:pStyle w:val="Akapitzlist"/>
        <w:numPr>
          <w:ilvl w:val="0"/>
          <w:numId w:val="21"/>
        </w:numPr>
        <w:spacing w:after="0"/>
        <w:ind w:left="426" w:hanging="426"/>
        <w:rPr>
          <w:rFonts w:eastAsia="Calibri" w:cs="Arial"/>
          <w:b/>
          <w:bCs/>
          <w:color w:val="000000"/>
        </w:rPr>
      </w:pPr>
      <w:r w:rsidRPr="00664B7D">
        <w:rPr>
          <w:rFonts w:eastAsia="Calibri" w:cs="Arial"/>
          <w:color w:val="000000"/>
        </w:rPr>
        <w:t>zasadą zrównoważonego rozwoju (kryterium ogólne zerojedynkowe nr 7),</w:t>
      </w:r>
    </w:p>
    <w:p w14:paraId="7428BFB8" w14:textId="77777777" w:rsidR="007B0524" w:rsidRPr="00664B7D" w:rsidRDefault="0003320F" w:rsidP="001619AD">
      <w:pPr>
        <w:pStyle w:val="Akapitzlist"/>
        <w:numPr>
          <w:ilvl w:val="0"/>
          <w:numId w:val="21"/>
        </w:numPr>
        <w:spacing w:after="0"/>
        <w:ind w:left="426" w:hanging="426"/>
        <w:rPr>
          <w:rFonts w:eastAsia="Calibri" w:cs="Arial"/>
          <w:b/>
          <w:bCs/>
          <w:color w:val="000000"/>
        </w:rPr>
      </w:pPr>
      <w:r w:rsidRPr="00664B7D">
        <w:rPr>
          <w:rFonts w:eastAsia="Calibri" w:cs="Arial"/>
          <w:color w:val="000000"/>
        </w:rPr>
        <w:t xml:space="preserve">zasadą „do no </w:t>
      </w:r>
      <w:proofErr w:type="spellStart"/>
      <w:r w:rsidRPr="00664B7D">
        <w:rPr>
          <w:rFonts w:eastAsia="Calibri" w:cs="Arial"/>
          <w:color w:val="000000"/>
        </w:rPr>
        <w:t>significant</w:t>
      </w:r>
      <w:proofErr w:type="spellEnd"/>
      <w:r w:rsidRPr="00664B7D">
        <w:rPr>
          <w:rFonts w:eastAsia="Calibri" w:cs="Arial"/>
          <w:color w:val="000000"/>
        </w:rPr>
        <w:t xml:space="preserve"> </w:t>
      </w:r>
      <w:proofErr w:type="spellStart"/>
      <w:r w:rsidRPr="00664B7D">
        <w:rPr>
          <w:rFonts w:eastAsia="Calibri" w:cs="Arial"/>
          <w:color w:val="000000"/>
        </w:rPr>
        <w:t>harm</w:t>
      </w:r>
      <w:proofErr w:type="spellEnd"/>
      <w:r w:rsidRPr="00664B7D">
        <w:rPr>
          <w:rFonts w:eastAsia="Calibri" w:cs="Arial"/>
          <w:color w:val="000000"/>
        </w:rPr>
        <w:t>” (DNSH) – „nie czyń poważnych szkód” (kryterium ogólne zerojedynkowe nr 8).</w:t>
      </w:r>
      <w:bookmarkStart w:id="27" w:name="_Toc499114339"/>
    </w:p>
    <w:p w14:paraId="5A4FFB24" w14:textId="77777777" w:rsidR="007B0524" w:rsidRPr="00664B7D" w:rsidRDefault="007B0524" w:rsidP="001C3CAC">
      <w:pPr>
        <w:spacing w:after="0"/>
        <w:rPr>
          <w:rFonts w:eastAsiaTheme="majorEastAsia" w:cs="Arial"/>
          <w:b/>
          <w:bCs/>
        </w:rPr>
      </w:pPr>
    </w:p>
    <w:p w14:paraId="49627350" w14:textId="0DFECDB9" w:rsidR="0003320F" w:rsidRPr="00664B7D" w:rsidRDefault="0003320F" w:rsidP="001C3CAC">
      <w:pPr>
        <w:spacing w:after="0"/>
        <w:rPr>
          <w:rFonts w:eastAsia="Calibri" w:cs="Arial"/>
          <w:b/>
          <w:bCs/>
          <w:color w:val="000000"/>
        </w:rPr>
      </w:pPr>
      <w:r w:rsidRPr="00664B7D">
        <w:rPr>
          <w:rFonts w:eastAsiaTheme="majorEastAsia" w:cs="Arial"/>
          <w:b/>
          <w:bCs/>
        </w:rPr>
        <w:t>Zasada równości szans i niedyskrymina</w:t>
      </w:r>
      <w:r w:rsidR="00DA7E98" w:rsidRPr="00664B7D">
        <w:rPr>
          <w:rFonts w:eastAsiaTheme="majorEastAsia" w:cs="Arial"/>
          <w:b/>
          <w:bCs/>
        </w:rPr>
        <w:t xml:space="preserve">cji, w tym dostępność dla osób </w:t>
      </w:r>
      <w:r w:rsidRPr="00664B7D">
        <w:rPr>
          <w:rFonts w:eastAsiaTheme="majorEastAsia" w:cs="Arial"/>
          <w:b/>
          <w:bCs/>
        </w:rPr>
        <w:t>z niepełnosprawnościami</w:t>
      </w:r>
      <w:bookmarkEnd w:id="27"/>
    </w:p>
    <w:p w14:paraId="60EE98BB" w14:textId="77777777" w:rsidR="0003320F" w:rsidRPr="00664B7D" w:rsidRDefault="0003320F" w:rsidP="001C3CAC">
      <w:pPr>
        <w:rPr>
          <w:rFonts w:cs="Arial"/>
          <w:i/>
          <w:strike/>
        </w:rPr>
      </w:pPr>
      <w:bookmarkStart w:id="28" w:name="podr_4_2"/>
      <w:r w:rsidRPr="00664B7D">
        <w:rPr>
          <w:rFonts w:cs="Arial"/>
        </w:rPr>
        <w:t>Wnioskodawca zobowiązany jest do zapewnienia we wniosku o dofinansowanie projektu zapisów potwierdzających dostępność dla osób z niepełnosprawnościami, zgodnie ze </w:t>
      </w:r>
      <w:r w:rsidRPr="00664B7D">
        <w:rPr>
          <w:rFonts w:cs="Arial"/>
          <w:i/>
        </w:rPr>
        <w:t>Standardami dostępności dla polityki spójności 2021-2027</w:t>
      </w:r>
      <w:r w:rsidRPr="00664B7D">
        <w:rPr>
          <w:rFonts w:cs="Arial"/>
        </w:rPr>
        <w:t xml:space="preserve">, określonymi w załączniku nr 2 do </w:t>
      </w:r>
      <w:r w:rsidRPr="00664B7D">
        <w:rPr>
          <w:rFonts w:cs="Arial"/>
          <w:i/>
        </w:rPr>
        <w:t xml:space="preserve">Wytycznych </w:t>
      </w:r>
      <w:r w:rsidR="00977BC9" w:rsidRPr="00664B7D">
        <w:rPr>
          <w:rFonts w:cs="Arial"/>
          <w:i/>
        </w:rPr>
        <w:t>równościowych.</w:t>
      </w:r>
    </w:p>
    <w:bookmarkEnd w:id="28"/>
    <w:p w14:paraId="3C662184" w14:textId="77777777" w:rsidR="0003320F" w:rsidRPr="00664B7D" w:rsidRDefault="0003320F" w:rsidP="001C3CAC">
      <w:pPr>
        <w:rPr>
          <w:rFonts w:cs="Arial"/>
        </w:rPr>
      </w:pPr>
      <w:r w:rsidRPr="00664B7D">
        <w:rPr>
          <w:rFonts w:cs="Arial"/>
          <w:b/>
          <w:color w:val="2F5496"/>
        </w:rPr>
        <w:t>UWAGA!</w:t>
      </w:r>
      <w:r w:rsidRPr="00664B7D">
        <w:rPr>
          <w:rFonts w:cs="Arial"/>
        </w:rPr>
        <w:t xml:space="preserve"> IZ wymaga, aby Wnioskodawca w treści wniosku o dofinasowanie zawarł deklarację, że projekt będzie realizowany zgodnie ze </w:t>
      </w:r>
      <w:r w:rsidRPr="00664B7D">
        <w:rPr>
          <w:rFonts w:cs="Arial"/>
          <w:i/>
        </w:rPr>
        <w:t>Standardami dostępności dla polityki spójności 2021-2027</w:t>
      </w:r>
      <w:r w:rsidRPr="00664B7D">
        <w:rPr>
          <w:rFonts w:cs="Arial"/>
        </w:rPr>
        <w:t xml:space="preserve">.  </w:t>
      </w:r>
    </w:p>
    <w:p w14:paraId="352087CA" w14:textId="77777777" w:rsidR="0003320F" w:rsidRPr="00664B7D" w:rsidRDefault="0003320F" w:rsidP="001C3CAC">
      <w:pPr>
        <w:rPr>
          <w:rFonts w:cs="Arial"/>
        </w:rPr>
      </w:pPr>
      <w:r w:rsidRPr="00664B7D">
        <w:rPr>
          <w:rFonts w:cs="Arial"/>
          <w:b/>
          <w:color w:val="2F5496"/>
        </w:rPr>
        <w:t>UWAGA!</w:t>
      </w:r>
      <w:r w:rsidRPr="00664B7D">
        <w:rPr>
          <w:rFonts w:cs="Arial"/>
        </w:rPr>
        <w:t xml:space="preserve"> Należy zwrócić uwagę, żeby nie utożsamiać zasady równości szans i niedyskryminacji, w tym dostępności dla osób z niepełnosprawnościami (kryterium ogólne zerojedynkowe nr 4)</w:t>
      </w:r>
      <w:r w:rsidRPr="00664B7D">
        <w:rPr>
          <w:rFonts w:cs="Arial"/>
          <w:color w:val="0000FF"/>
        </w:rPr>
        <w:t xml:space="preserve"> </w:t>
      </w:r>
      <w:r w:rsidRPr="00664B7D">
        <w:rPr>
          <w:rFonts w:cs="Arial"/>
        </w:rPr>
        <w:t>z zasadą równości szans kobiet i mężczyzn (kryterium ogólne zerojedynkowe nr 5).</w:t>
      </w:r>
    </w:p>
    <w:p w14:paraId="3C062B1F" w14:textId="77777777" w:rsidR="0003320F" w:rsidRPr="00664B7D" w:rsidRDefault="0003320F" w:rsidP="001C3CAC">
      <w:pPr>
        <w:rPr>
          <w:rFonts w:cs="Arial"/>
        </w:rPr>
      </w:pPr>
      <w:r w:rsidRPr="00664B7D">
        <w:rPr>
          <w:rFonts w:cs="Arial"/>
        </w:rPr>
        <w:t xml:space="preserve">W </w:t>
      </w:r>
      <w:r w:rsidRPr="00664B7D">
        <w:rPr>
          <w:rFonts w:cs="Arial"/>
          <w:i/>
        </w:rPr>
        <w:t>Instrukcji</w:t>
      </w:r>
      <w:r w:rsidRPr="00664B7D">
        <w:rPr>
          <w:rFonts w:cs="Arial"/>
        </w:rPr>
        <w:t xml:space="preserve"> </w:t>
      </w:r>
      <w:r w:rsidRPr="00664B7D">
        <w:rPr>
          <w:rFonts w:cs="Arial"/>
          <w:i/>
          <w:iCs/>
        </w:rPr>
        <w:t>merytorycznej</w:t>
      </w:r>
      <w:r w:rsidRPr="00664B7D">
        <w:rPr>
          <w:rFonts w:cs="Arial"/>
        </w:rPr>
        <w:t xml:space="preserve"> Wnioskodawca znajdzie wskazówki, w jaki sposób odnieść się do kwestii dostępności dla osób z niepełnosprawnościami. </w:t>
      </w:r>
    </w:p>
    <w:p w14:paraId="53B11CD3" w14:textId="77777777" w:rsidR="0003320F" w:rsidRPr="00664B7D" w:rsidRDefault="0003320F" w:rsidP="001C3CAC">
      <w:pPr>
        <w:rPr>
          <w:rFonts w:cs="Arial"/>
        </w:rPr>
      </w:pPr>
      <w:r w:rsidRPr="00664B7D">
        <w:rPr>
          <w:rFonts w:cs="Arial"/>
        </w:rPr>
        <w:t xml:space="preserve">Z zapisów wniosku o dofinansowanie musi jednoznacznie wynikać, że Wnioskodawca zapewni dostępność projektu dla osób z niepełnosprawnościami na równi z innymi </w:t>
      </w:r>
      <w:r w:rsidRPr="00664B7D">
        <w:rPr>
          <w:rFonts w:cs="Arial"/>
        </w:rPr>
        <w:lastRenderedPageBreak/>
        <w:t>uczestnikami/odbiorcami rezultatów projektu i nie będzie dyskryminował uczestników/odbiorców rezultatów projektu ze względu na niepełnosprawność.</w:t>
      </w:r>
    </w:p>
    <w:p w14:paraId="4CABBF51" w14:textId="77777777" w:rsidR="0003320F" w:rsidRPr="00664B7D" w:rsidRDefault="0003320F" w:rsidP="001C3CAC">
      <w:pPr>
        <w:rPr>
          <w:rFonts w:cs="Arial"/>
          <w:b/>
        </w:rPr>
      </w:pPr>
      <w:r w:rsidRPr="00664B7D">
        <w:rPr>
          <w:rFonts w:cs="Arial"/>
          <w:b/>
        </w:rPr>
        <w:t>Założenie, że do projektu nie mogą zgłosić się (czy nie zgłaszają się) osoby z niepełnosprawnościami lub zgłaszają się wyłącznie takie z określonymi rodzajami niepełnosprawności, jest dyskryminacją.</w:t>
      </w:r>
    </w:p>
    <w:p w14:paraId="73D75925" w14:textId="77777777" w:rsidR="0003320F" w:rsidRPr="00664B7D" w:rsidRDefault="0003320F" w:rsidP="001C3CAC">
      <w:pPr>
        <w:rPr>
          <w:rFonts w:cs="Arial"/>
          <w:b/>
        </w:rPr>
      </w:pPr>
      <w:r w:rsidRPr="00664B7D">
        <w:rPr>
          <w:rFonts w:cs="Arial"/>
          <w:b/>
        </w:rPr>
        <w:t>Należy pamiętać, że nawet jeśli projekt nie jest wprost skierowany do osób z niepełnosprawnością, powinien zapewnić równy dostęp osobom z różnymi rodzajami niepełnosprawności</w:t>
      </w:r>
      <w:r w:rsidRPr="00664B7D">
        <w:rPr>
          <w:rFonts w:cs="Arial"/>
        </w:rPr>
        <w:t>, szczególnie poprzez poniższ</w:t>
      </w:r>
      <w:r w:rsidR="0088616C" w:rsidRPr="00664B7D">
        <w:rPr>
          <w:rFonts w:cs="Arial"/>
        </w:rPr>
        <w:t>e rozwiązania:</w:t>
      </w:r>
    </w:p>
    <w:p w14:paraId="2783CEAA" w14:textId="12C02C3D" w:rsidR="0003320F" w:rsidRPr="00664B7D" w:rsidRDefault="003D4E41" w:rsidP="00790DF9">
      <w:pPr>
        <w:numPr>
          <w:ilvl w:val="0"/>
          <w:numId w:val="5"/>
        </w:numPr>
        <w:autoSpaceDE w:val="0"/>
        <w:autoSpaceDN w:val="0"/>
        <w:adjustRightInd w:val="0"/>
        <w:spacing w:after="0"/>
        <w:ind w:left="426" w:hanging="426"/>
        <w:rPr>
          <w:rFonts w:cs="Arial"/>
        </w:rPr>
      </w:pPr>
      <w:r w:rsidRPr="00664B7D">
        <w:rPr>
          <w:rFonts w:cs="Arial"/>
          <w:b/>
        </w:rPr>
        <w:t>D</w:t>
      </w:r>
      <w:r w:rsidR="0003320F" w:rsidRPr="00664B7D">
        <w:rPr>
          <w:rFonts w:cs="Arial"/>
          <w:b/>
        </w:rPr>
        <w:t xml:space="preserve">ostęp na każdym etapie realizacji projektu </w:t>
      </w:r>
      <w:r w:rsidR="0003320F" w:rsidRPr="00664B7D">
        <w:rPr>
          <w:rFonts w:cs="Arial"/>
        </w:rPr>
        <w:t xml:space="preserve">– możliwość korzystania z infrastruktury, transportu, technologii i systemów informacyjno-komunikacyjnych oraz produktów i usług. Pozwala ona w szczególności osobom z niepełnosprawnościami i 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2B54598A" w14:textId="0ECAD963" w:rsidR="002D53AF" w:rsidRPr="00474956" w:rsidRDefault="0003320F" w:rsidP="00474956">
      <w:pPr>
        <w:numPr>
          <w:ilvl w:val="0"/>
          <w:numId w:val="5"/>
        </w:numPr>
        <w:autoSpaceDE w:val="0"/>
        <w:autoSpaceDN w:val="0"/>
        <w:adjustRightInd w:val="0"/>
        <w:spacing w:after="0"/>
        <w:ind w:left="426" w:hanging="426"/>
        <w:rPr>
          <w:rFonts w:cs="Arial"/>
        </w:rPr>
      </w:pPr>
      <w:r w:rsidRPr="00664B7D">
        <w:rPr>
          <w:rFonts w:cs="Arial"/>
          <w:b/>
        </w:rPr>
        <w:t>Koncepcja uniwersalnego projektowania</w:t>
      </w:r>
      <w:r w:rsidRPr="00664B7D">
        <w:rPr>
          <w:rFonts w:cs="Arial"/>
        </w:rPr>
        <w:t xml:space="preserve"> – zgodnie z ww. </w:t>
      </w:r>
      <w:r w:rsidRPr="00664B7D">
        <w:rPr>
          <w:rFonts w:cs="Arial"/>
          <w:i/>
        </w:rPr>
        <w:t>Wytycznymi równośc</w:t>
      </w:r>
      <w:r w:rsidR="006A1723" w:rsidRPr="00664B7D">
        <w:rPr>
          <w:rFonts w:cs="Arial"/>
          <w:i/>
        </w:rPr>
        <w:t xml:space="preserve">iowymi </w:t>
      </w:r>
      <w:r w:rsidRPr="00664B7D">
        <w:rPr>
          <w:rFonts w:cs="Arial"/>
        </w:rPr>
        <w:t xml:space="preserve">to projektowanie produktów, środowiska, programów i usług w taki sposób, by były użyteczne dla wszystkich, w możliwie największym stopniu, bez potrzeby adaptacji lub specjalistycznego projektowania. Koncepcja ta jest realizowana co najmniej przez zastosowanie </w:t>
      </w:r>
      <w:r w:rsidRPr="00664B7D">
        <w:rPr>
          <w:rFonts w:cs="Arial"/>
          <w:i/>
        </w:rPr>
        <w:t xml:space="preserve">Standardów dostępności, </w:t>
      </w:r>
      <w:r w:rsidRPr="00664B7D">
        <w:rPr>
          <w:rFonts w:cs="Arial"/>
        </w:rPr>
        <w:t>określonych w załączniku nr 2</w:t>
      </w:r>
      <w:r w:rsidRPr="00664B7D">
        <w:rPr>
          <w:rFonts w:cs="Arial"/>
          <w:i/>
        </w:rPr>
        <w:t xml:space="preserve"> </w:t>
      </w:r>
      <w:r w:rsidRPr="00664B7D">
        <w:rPr>
          <w:rFonts w:cs="Arial"/>
        </w:rPr>
        <w:t xml:space="preserve">do </w:t>
      </w:r>
      <w:r w:rsidRPr="00664B7D">
        <w:rPr>
          <w:rFonts w:cs="Arial"/>
          <w:i/>
        </w:rPr>
        <w:t>Wytycznych równościowych</w:t>
      </w:r>
      <w:r w:rsidRPr="00664B7D">
        <w:rPr>
          <w:rFonts w:cs="Arial"/>
        </w:rPr>
        <w:t>. Uniwersalne projektowanie nie wyklucza zapewnienia dodatkowych udogodnień dla szczególnych potrzeb osób z niepełnosprawnościami, jeśli jest to potrzebne.</w:t>
      </w:r>
    </w:p>
    <w:p w14:paraId="1E03800D" w14:textId="27080C5E" w:rsidR="0003320F" w:rsidRPr="00664B7D" w:rsidRDefault="0003320F" w:rsidP="00790DF9">
      <w:pPr>
        <w:numPr>
          <w:ilvl w:val="0"/>
          <w:numId w:val="5"/>
        </w:numPr>
        <w:autoSpaceDE w:val="0"/>
        <w:autoSpaceDN w:val="0"/>
        <w:adjustRightInd w:val="0"/>
        <w:spacing w:after="0"/>
        <w:ind w:left="426" w:hanging="426"/>
        <w:rPr>
          <w:rFonts w:cs="Arial"/>
        </w:rPr>
      </w:pPr>
      <w:r w:rsidRPr="00664B7D">
        <w:rPr>
          <w:rFonts w:cs="Arial"/>
          <w:b/>
        </w:rPr>
        <w:t>Mechanizm racjonalnych usprawnień</w:t>
      </w:r>
      <w:r w:rsidRPr="00664B7D">
        <w:rPr>
          <w:rFonts w:cs="Arial"/>
        </w:rPr>
        <w:t xml:space="preserve"> – oznacza możliwość sfinansowania specyficznych działań dostosowawczych, uruchamianych wraz z pojawieniem się w projekcie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07543796" w14:textId="222E6019" w:rsidR="0003320F" w:rsidRPr="00664B7D" w:rsidRDefault="0003320F" w:rsidP="00790DF9">
      <w:pPr>
        <w:spacing w:before="240" w:after="120"/>
        <w:ind w:left="426"/>
        <w:rPr>
          <w:rFonts w:cs="Arial"/>
          <w:b/>
        </w:rPr>
      </w:pPr>
      <w:r w:rsidRPr="00664B7D">
        <w:rPr>
          <w:rFonts w:cs="Arial"/>
          <w:b/>
        </w:rPr>
        <w:lastRenderedPageBreak/>
        <w:t xml:space="preserve">PAMIĘTAJ! W procesie rekrutacji, który musi być zaplanowany tak, aby nikomu nie ograniczał dostępu, </w:t>
      </w:r>
      <w:r w:rsidRPr="00664B7D">
        <w:rPr>
          <w:rFonts w:cs="Arial"/>
        </w:rPr>
        <w:t>należy mieć na uwadze poniższe zasady</w:t>
      </w:r>
      <w:r w:rsidRPr="00664B7D">
        <w:rPr>
          <w:rFonts w:cs="Arial"/>
          <w:b/>
        </w:rPr>
        <w:t>:</w:t>
      </w:r>
    </w:p>
    <w:p w14:paraId="44E52632" w14:textId="77777777" w:rsidR="0003320F" w:rsidRPr="00664B7D" w:rsidRDefault="0003320F" w:rsidP="00F15960">
      <w:pPr>
        <w:pStyle w:val="TreNum-K"/>
        <w:numPr>
          <w:ilvl w:val="0"/>
          <w:numId w:val="26"/>
        </w:numPr>
        <w:ind w:left="426" w:hanging="426"/>
        <w:rPr>
          <w:b/>
        </w:rPr>
      </w:pPr>
      <w:r w:rsidRPr="00664B7D">
        <w:rPr>
          <w:lang w:eastAsia="pl-PL"/>
        </w:rPr>
        <w:t>Strony internetowe na których będą publikowane informacje o projekcie oraz dokumenty rekrutacyjne są zgodnie z wymogami WCAG 2.1 na poziomie AA.</w:t>
      </w:r>
    </w:p>
    <w:p w14:paraId="25F7288D" w14:textId="77777777" w:rsidR="0003320F" w:rsidRPr="00664B7D" w:rsidRDefault="0003320F" w:rsidP="00790DF9">
      <w:pPr>
        <w:pStyle w:val="TreNum-K"/>
        <w:ind w:left="426"/>
        <w:rPr>
          <w:b/>
        </w:rPr>
      </w:pPr>
      <w:r w:rsidRPr="00664B7D">
        <w:rPr>
          <w:lang w:eastAsia="pl-PL"/>
        </w:rPr>
        <w:t>W</w:t>
      </w:r>
      <w:r w:rsidRPr="00664B7D">
        <w:rPr>
          <w:rStyle w:val="TreNum-KZnak"/>
        </w:rPr>
        <w:t>a</w:t>
      </w:r>
      <w:r w:rsidRPr="00664B7D">
        <w:rPr>
          <w:lang w:eastAsia="pl-PL"/>
        </w:rPr>
        <w:t>rto również zamieścić informacje o projekcie na stronach/portalach internetowych, z których korzystają osoby z niepełnosprawnościami.</w:t>
      </w:r>
    </w:p>
    <w:p w14:paraId="15DB81A4" w14:textId="77777777" w:rsidR="0003320F" w:rsidRPr="00664B7D" w:rsidRDefault="0003320F" w:rsidP="003B4896">
      <w:pPr>
        <w:pStyle w:val="TreNum-K"/>
        <w:numPr>
          <w:ilvl w:val="0"/>
          <w:numId w:val="26"/>
        </w:numPr>
        <w:ind w:left="426" w:hanging="426"/>
        <w:rPr>
          <w:b/>
        </w:rPr>
      </w:pPr>
      <w:r w:rsidRPr="00664B7D">
        <w:rPr>
          <w:lang w:eastAsia="pl-PL"/>
        </w:rPr>
        <w:t>Konieczne jest zapewnienie różnych sposobów informowania o możliwości udziału w projekcie: plakaty, ulotki, informacje w polskim języku migowym (film na www) itp.</w:t>
      </w:r>
      <w:r w:rsidRPr="00664B7D">
        <w:t xml:space="preserve"> </w:t>
      </w:r>
      <w:r w:rsidRPr="00664B7D">
        <w:rPr>
          <w:lang w:eastAsia="pl-PL"/>
        </w:rPr>
        <w:t xml:space="preserve">Zalecane jest także nagranie komunikatu z zaproszeniem do wzięcia udziału w projekcie </w:t>
      </w:r>
      <w:r w:rsidR="00F53A30" w:rsidRPr="00664B7D">
        <w:rPr>
          <w:lang w:eastAsia="pl-PL"/>
        </w:rPr>
        <w:br/>
      </w:r>
      <w:r w:rsidRPr="00664B7D">
        <w:rPr>
          <w:lang w:eastAsia="pl-PL"/>
        </w:rPr>
        <w:t xml:space="preserve">w formie video z napisami w języku łatwym oraz z tłumaczeniem na polski język migowy. </w:t>
      </w:r>
      <w:r w:rsidR="00F53A30" w:rsidRPr="00664B7D">
        <w:rPr>
          <w:lang w:eastAsia="pl-PL"/>
        </w:rPr>
        <w:br/>
      </w:r>
      <w:r w:rsidRPr="00664B7D">
        <w:rPr>
          <w:lang w:eastAsia="pl-PL"/>
        </w:rPr>
        <w:t>W ramach dobrych praktyk Wnioskodawca może poinformować lokalne organizacje/instytucje działające na rzecz osób z niepełnosprawnościami o realizacji projektu. Materiały informacyjne natomiast warto kierować również do np. członków rodzin, znajomych czy opiekunów osób z niepełnosprawnościami.</w:t>
      </w:r>
    </w:p>
    <w:p w14:paraId="210930F2" w14:textId="77777777" w:rsidR="0003320F" w:rsidRPr="00664B7D" w:rsidRDefault="0003320F" w:rsidP="003B4896">
      <w:pPr>
        <w:pStyle w:val="TreNum-K"/>
        <w:numPr>
          <w:ilvl w:val="0"/>
          <w:numId w:val="26"/>
        </w:numPr>
        <w:ind w:left="426" w:hanging="426"/>
        <w:rPr>
          <w:b/>
        </w:rPr>
      </w:pPr>
      <w:r w:rsidRPr="00664B7D">
        <w:rPr>
          <w:lang w:eastAsia="pl-PL"/>
        </w:rPr>
        <w:t xml:space="preserve">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t>
      </w:r>
      <w:r w:rsidR="00F53A30" w:rsidRPr="00664B7D">
        <w:rPr>
          <w:lang w:eastAsia="pl-PL"/>
        </w:rPr>
        <w:br/>
      </w:r>
      <w:r w:rsidRPr="00664B7D">
        <w:rPr>
          <w:lang w:eastAsia="pl-PL"/>
        </w:rPr>
        <w:t>W</w:t>
      </w:r>
      <w:r w:rsidR="002D53AF" w:rsidRPr="00664B7D">
        <w:rPr>
          <w:lang w:eastAsia="pl-PL"/>
        </w:rPr>
        <w:t xml:space="preserve"> </w:t>
      </w:r>
      <w:r w:rsidRPr="00664B7D">
        <w:rPr>
          <w:lang w:eastAsia="pl-PL"/>
        </w:rPr>
        <w:t>formularzu rekrutacyjnym warto zamieścić dodatkowe pytanie otwarte o szczególne potrzeby uczestników projektu.</w:t>
      </w:r>
    </w:p>
    <w:p w14:paraId="78A76883" w14:textId="77777777" w:rsidR="0003320F" w:rsidRPr="00664B7D" w:rsidRDefault="0003320F" w:rsidP="003B4896">
      <w:pPr>
        <w:pStyle w:val="TreNum-K"/>
        <w:numPr>
          <w:ilvl w:val="0"/>
          <w:numId w:val="26"/>
        </w:numPr>
        <w:ind w:left="426" w:hanging="426"/>
        <w:rPr>
          <w:b/>
        </w:rPr>
      </w:pPr>
      <w:r w:rsidRPr="00664B7D">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4961570F" w14:textId="16BD1B88" w:rsidR="002D53AF" w:rsidRPr="00664B7D" w:rsidRDefault="0003320F" w:rsidP="00790DF9">
      <w:pPr>
        <w:ind w:left="426"/>
        <w:rPr>
          <w:rFonts w:cs="Arial"/>
        </w:rPr>
      </w:pPr>
      <w:r w:rsidRPr="00664B7D">
        <w:rPr>
          <w:rFonts w:cs="Arial"/>
          <w:b/>
        </w:rPr>
        <w:t>IO</w:t>
      </w:r>
      <w:r w:rsidR="00F350C0" w:rsidRPr="00664B7D">
        <w:rPr>
          <w:rFonts w:cs="Arial"/>
          <w:b/>
        </w:rPr>
        <w:t>N</w:t>
      </w:r>
      <w:r w:rsidRPr="00664B7D">
        <w:rPr>
          <w:rFonts w:cs="Arial"/>
          <w:b/>
        </w:rPr>
        <w:t xml:space="preserve"> zaleca zapoznanie się z  poradnikami, dokumentami, wskazówkami na stronie </w:t>
      </w:r>
      <w:hyperlink r:id="rId14" w:history="1">
        <w:r w:rsidRPr="00664B7D">
          <w:rPr>
            <w:rFonts w:cs="Arial"/>
          </w:rPr>
          <w:t>https://www.funduszeeuropejskie.gov.pl/strony/o-funduszach/fundusze-europejskie-bez-barier/dostepnosc-plus/</w:t>
        </w:r>
      </w:hyperlink>
    </w:p>
    <w:p w14:paraId="0B326129" w14:textId="77777777" w:rsidR="004451E6" w:rsidRDefault="004451E6">
      <w:pPr>
        <w:spacing w:line="259" w:lineRule="auto"/>
        <w:rPr>
          <w:rFonts w:eastAsia="Calibri" w:cs="Arial"/>
          <w:b/>
          <w:sz w:val="24"/>
          <w:szCs w:val="24"/>
        </w:rPr>
      </w:pPr>
      <w:bookmarkStart w:id="29" w:name="_Toc134446808"/>
      <w:r>
        <w:br w:type="page"/>
      </w:r>
    </w:p>
    <w:p w14:paraId="3655C2D3" w14:textId="2E72F51F" w:rsidR="002D53AF" w:rsidRPr="00664B7D" w:rsidRDefault="005A5EDA" w:rsidP="004451E6">
      <w:pPr>
        <w:pStyle w:val="Rozdzia-K"/>
      </w:pPr>
      <w:bookmarkStart w:id="30" w:name="_Toc145936723"/>
      <w:r w:rsidRPr="004451E6">
        <w:lastRenderedPageBreak/>
        <w:t>Zasady</w:t>
      </w:r>
      <w:r w:rsidRPr="00664B7D">
        <w:t xml:space="preserve"> finansowania</w:t>
      </w:r>
      <w:bookmarkEnd w:id="29"/>
      <w:bookmarkEnd w:id="30"/>
      <w:r w:rsidR="001C34A8" w:rsidRPr="00664B7D">
        <w:t xml:space="preserve"> </w:t>
      </w:r>
    </w:p>
    <w:p w14:paraId="131FF378" w14:textId="77777777" w:rsidR="005A5EDA" w:rsidRPr="00664B7D" w:rsidRDefault="005A5EDA" w:rsidP="00F15960">
      <w:pPr>
        <w:pStyle w:val="TreNum-K"/>
        <w:numPr>
          <w:ilvl w:val="0"/>
          <w:numId w:val="27"/>
        </w:numPr>
        <w:ind w:left="426" w:hanging="426"/>
      </w:pPr>
      <w:r w:rsidRPr="00664B7D">
        <w:t xml:space="preserve">Koszty projektu przedstawiane są w formie budżetu zadaniowego i wykazywane w podziale na koszty bezpośrednie i pośrednie. Kwalifikowalne koszty bezpośrednie projektu przedstawione są w podziale na zadania merytoryczne. Pojedyncze wydatki nie stanowią zadania merytorycznego. </w:t>
      </w:r>
    </w:p>
    <w:p w14:paraId="4BCBFBC3" w14:textId="77777777" w:rsidR="005A5EDA" w:rsidRPr="00664B7D" w:rsidRDefault="005A5EDA" w:rsidP="003B4896">
      <w:pPr>
        <w:pStyle w:val="TreNum-K"/>
        <w:numPr>
          <w:ilvl w:val="0"/>
          <w:numId w:val="26"/>
        </w:numPr>
        <w:ind w:left="426" w:hanging="426"/>
      </w:pPr>
      <w:r w:rsidRPr="00664B7D">
        <w:t xml:space="preserve">Koszt każdego zadania kalkulowany jest w oparciu o budżet. Jest on podstawą m.in. do oceny </w:t>
      </w:r>
      <w:r w:rsidRPr="00664B7D">
        <w:rPr>
          <w:bCs/>
        </w:rPr>
        <w:t xml:space="preserve">kwalifikowalności </w:t>
      </w:r>
      <w:r w:rsidRPr="00664B7D">
        <w:t xml:space="preserve">(zgodność z </w:t>
      </w:r>
      <w:r w:rsidRPr="00664B7D">
        <w:rPr>
          <w:i/>
          <w:iCs/>
        </w:rPr>
        <w:t xml:space="preserve">Wytycznymi </w:t>
      </w:r>
      <w:r w:rsidR="00E958F7" w:rsidRPr="00664B7D">
        <w:rPr>
          <w:i/>
          <w:iCs/>
        </w:rPr>
        <w:t>kwalifikowalności</w:t>
      </w:r>
      <w:r w:rsidRPr="00664B7D">
        <w:rPr>
          <w:i/>
          <w:iCs/>
        </w:rPr>
        <w:t>)</w:t>
      </w:r>
      <w:r w:rsidRPr="00664B7D">
        <w:t xml:space="preserve">, </w:t>
      </w:r>
      <w:r w:rsidRPr="00664B7D">
        <w:rPr>
          <w:bCs/>
        </w:rPr>
        <w:t xml:space="preserve">racjonalności </w:t>
      </w:r>
      <w:r w:rsidRPr="00664B7D">
        <w:t xml:space="preserve">(rynkowość kosztów) i </w:t>
      </w:r>
      <w:r w:rsidRPr="00664B7D">
        <w:rPr>
          <w:bCs/>
        </w:rPr>
        <w:t xml:space="preserve">efektywności </w:t>
      </w:r>
      <w:r w:rsidRPr="00664B7D">
        <w:t xml:space="preserve">wydatków (relacja nakład/rezultat), dokonywanej przez KOP. </w:t>
      </w:r>
    </w:p>
    <w:p w14:paraId="6B865861" w14:textId="77777777" w:rsidR="001114A6" w:rsidRPr="00664B7D" w:rsidRDefault="005A5EDA" w:rsidP="003B4896">
      <w:pPr>
        <w:pStyle w:val="TreNum-K"/>
        <w:numPr>
          <w:ilvl w:val="0"/>
          <w:numId w:val="26"/>
        </w:numPr>
        <w:ind w:left="426" w:hanging="426"/>
      </w:pPr>
      <w:r w:rsidRPr="00664B7D">
        <w:t>Tworząc budżet należy pamiętać, iż zasady kwalifikowalności dotyczą poszczególnych kosztów w kontekście zaplanowanych i realizowanych zadań a także celu projektu.</w:t>
      </w:r>
    </w:p>
    <w:p w14:paraId="1BF97AB3" w14:textId="22FF2609" w:rsidR="005A5EDA" w:rsidRPr="00664B7D" w:rsidRDefault="005A5EDA" w:rsidP="00624057">
      <w:pPr>
        <w:pStyle w:val="Podrozdzia-K"/>
      </w:pPr>
      <w:bookmarkStart w:id="31" w:name="_Toc134446809"/>
      <w:bookmarkStart w:id="32" w:name="_Toc145936724"/>
      <w:r w:rsidRPr="00624057">
        <w:t>Koszty</w:t>
      </w:r>
      <w:r w:rsidRPr="00664B7D">
        <w:t xml:space="preserve"> bezpośrednie</w:t>
      </w:r>
      <w:bookmarkEnd w:id="31"/>
      <w:bookmarkEnd w:id="32"/>
    </w:p>
    <w:p w14:paraId="4CE4E970" w14:textId="2946A91F" w:rsidR="005A5EDA" w:rsidRPr="00664B7D" w:rsidRDefault="005A5EDA" w:rsidP="00F15960">
      <w:pPr>
        <w:pStyle w:val="TreNum-K"/>
        <w:numPr>
          <w:ilvl w:val="0"/>
          <w:numId w:val="28"/>
        </w:numPr>
        <w:ind w:left="426" w:hanging="426"/>
        <w:rPr>
          <w:rFonts w:eastAsia="Calibri"/>
          <w:b/>
          <w:sz w:val="24"/>
          <w:szCs w:val="24"/>
        </w:rPr>
      </w:pPr>
      <w:r w:rsidRPr="00664B7D">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w:t>
      </w:r>
      <w:r w:rsidR="003778F0" w:rsidRPr="00664B7D">
        <w:t xml:space="preserve">ogą odbiegać od cen rynkowych. </w:t>
      </w:r>
    </w:p>
    <w:p w14:paraId="04DC4150" w14:textId="77777777" w:rsidR="005A5EDA" w:rsidRPr="00664B7D" w:rsidRDefault="005A5EDA" w:rsidP="003B4896">
      <w:pPr>
        <w:pStyle w:val="TreNum-K"/>
        <w:numPr>
          <w:ilvl w:val="0"/>
          <w:numId w:val="26"/>
        </w:numPr>
        <w:ind w:left="426" w:hanging="426"/>
      </w:pPr>
      <w:r w:rsidRPr="00664B7D">
        <w:t xml:space="preserve">W ramach kosztów bezpośrednich nie można ująć żadnego kosztu, który znajduje się w katalogu kosztów pośrednich, o którym mowa </w:t>
      </w:r>
      <w:hyperlink w:anchor="podr_3_7" w:history="1">
        <w:r w:rsidR="005E50A4" w:rsidRPr="00664B7D">
          <w:rPr>
            <w:color w:val="0000FF"/>
            <w:u w:val="single"/>
          </w:rPr>
          <w:t>w podrozdziale 4</w:t>
        </w:r>
        <w:r w:rsidRPr="00664B7D">
          <w:rPr>
            <w:color w:val="0000FF"/>
            <w:u w:val="single"/>
          </w:rPr>
          <w:t>.7</w:t>
        </w:r>
      </w:hyperlink>
      <w:r w:rsidRPr="00664B7D">
        <w:t xml:space="preserve"> Regulaminu wyboru projektów. Będzie to weryfikowane zarówno na etapie oceny wniosku o dofinansowanie, </w:t>
      </w:r>
      <w:r w:rsidR="00437F49" w:rsidRPr="00664B7D">
        <w:br/>
      </w:r>
      <w:r w:rsidRPr="00664B7D">
        <w:t xml:space="preserve">jak również na każdym etapie realizacji projektu. </w:t>
      </w:r>
      <w:bookmarkStart w:id="33" w:name="_Toc134446810"/>
    </w:p>
    <w:p w14:paraId="10C24274" w14:textId="6B5B84B6" w:rsidR="005A5EDA" w:rsidRPr="00664B7D" w:rsidRDefault="005A5EDA" w:rsidP="00624057">
      <w:pPr>
        <w:pStyle w:val="Podrozdzia-K"/>
      </w:pPr>
      <w:bookmarkStart w:id="34" w:name="_Toc145936725"/>
      <w:r w:rsidRPr="00624057">
        <w:t>Cross</w:t>
      </w:r>
      <w:r w:rsidRPr="00664B7D">
        <w:t>-</w:t>
      </w:r>
      <w:proofErr w:type="spellStart"/>
      <w:r w:rsidRPr="00664B7D">
        <w:t>financing</w:t>
      </w:r>
      <w:proofErr w:type="spellEnd"/>
      <w:r w:rsidRPr="00664B7D">
        <w:t xml:space="preserve"> oraz zakup środków trwałych</w:t>
      </w:r>
      <w:bookmarkEnd w:id="33"/>
      <w:bookmarkEnd w:id="34"/>
    </w:p>
    <w:p w14:paraId="077C0BF3" w14:textId="77777777" w:rsidR="005A5EDA" w:rsidRPr="00664B7D" w:rsidRDefault="005A5EDA" w:rsidP="001C3CAC">
      <w:r w:rsidRPr="00664B7D">
        <w:t>Cross-</w:t>
      </w:r>
      <w:proofErr w:type="spellStart"/>
      <w:r w:rsidRPr="00664B7D">
        <w:t>financing</w:t>
      </w:r>
      <w:proofErr w:type="spellEnd"/>
      <w:r w:rsidRPr="00664B7D">
        <w:t xml:space="preserve"> dotyczy wyłącznie takich kategorii wydatków, których poniesienie wynika z potrzeby realizacji danego projektu.</w:t>
      </w:r>
    </w:p>
    <w:p w14:paraId="3CE31868" w14:textId="45DA4AB2" w:rsidR="005A5EDA" w:rsidRDefault="005A5EDA" w:rsidP="001C3CAC">
      <w:pPr>
        <w:rPr>
          <w:bCs/>
          <w:szCs w:val="24"/>
        </w:rPr>
      </w:pPr>
      <w:r w:rsidRPr="00664B7D">
        <w:t>Wartość wydatków w ramach cross-</w:t>
      </w:r>
      <w:proofErr w:type="spellStart"/>
      <w:r w:rsidRPr="00664B7D">
        <w:t>financing</w:t>
      </w:r>
      <w:r w:rsidR="00E958F7" w:rsidRPr="00664B7D">
        <w:t>u</w:t>
      </w:r>
      <w:proofErr w:type="spellEnd"/>
      <w:r w:rsidR="00E958F7" w:rsidRPr="00664B7D">
        <w:t xml:space="preserve"> nie może stanowić więcej niż </w:t>
      </w:r>
      <w:r w:rsidR="00E958F7" w:rsidRPr="0079449B">
        <w:rPr>
          <w:b/>
          <w:bCs/>
        </w:rPr>
        <w:t>1</w:t>
      </w:r>
      <w:r w:rsidR="008D0041">
        <w:rPr>
          <w:b/>
          <w:bCs/>
        </w:rPr>
        <w:t>5</w:t>
      </w:r>
      <w:r w:rsidRPr="0079449B">
        <w:rPr>
          <w:b/>
          <w:bCs/>
        </w:rPr>
        <w:t>%</w:t>
      </w:r>
      <w:r w:rsidRPr="00664B7D">
        <w:rPr>
          <w:b/>
          <w:bCs/>
          <w:szCs w:val="24"/>
        </w:rPr>
        <w:t xml:space="preserve"> </w:t>
      </w:r>
      <w:r w:rsidRPr="00664B7D">
        <w:rPr>
          <w:bCs/>
          <w:szCs w:val="24"/>
        </w:rPr>
        <w:t>wartości projektu.</w:t>
      </w:r>
    </w:p>
    <w:p w14:paraId="50449DAE" w14:textId="5FFF6EB0" w:rsidR="00E35924" w:rsidRPr="00664B7D" w:rsidRDefault="00E35924" w:rsidP="001C3CAC">
      <w:pPr>
        <w:rPr>
          <w:bCs/>
          <w:szCs w:val="24"/>
        </w:rPr>
      </w:pPr>
      <w:r w:rsidRPr="00205302">
        <w:rPr>
          <w:b/>
          <w:color w:val="336699"/>
        </w:rPr>
        <w:t>UWAGA</w:t>
      </w:r>
      <w:r w:rsidRPr="00335E1B">
        <w:rPr>
          <w:b/>
          <w:color w:val="2F5496"/>
        </w:rPr>
        <w:t>!</w:t>
      </w:r>
      <w:r>
        <w:t xml:space="preserve"> </w:t>
      </w:r>
      <w:r w:rsidRPr="00620722">
        <w:rPr>
          <w:bCs/>
          <w:szCs w:val="24"/>
        </w:rPr>
        <w:t>Limit cross-</w:t>
      </w:r>
      <w:proofErr w:type="spellStart"/>
      <w:r w:rsidRPr="00620722">
        <w:rPr>
          <w:bCs/>
          <w:szCs w:val="24"/>
        </w:rPr>
        <w:t>financingu</w:t>
      </w:r>
      <w:proofErr w:type="spellEnd"/>
      <w:r w:rsidRPr="00620722">
        <w:rPr>
          <w:bCs/>
          <w:szCs w:val="24"/>
        </w:rPr>
        <w:t xml:space="preserve"> liczony jest jako suma kosztów bezpośrednich zaliczonych do tego limitu powiększona o naliczone od nich, zgodnie z obowiązującą stawką ryczałtową, koszty pośrednie.</w:t>
      </w:r>
    </w:p>
    <w:p w14:paraId="6F2C3149" w14:textId="77777777" w:rsidR="005A5EDA" w:rsidRPr="00664B7D" w:rsidRDefault="005A5EDA" w:rsidP="001C3CAC">
      <w:pPr>
        <w:rPr>
          <w:b/>
          <w:bCs/>
          <w:szCs w:val="24"/>
        </w:rPr>
      </w:pPr>
      <w:r w:rsidRPr="00664B7D">
        <w:lastRenderedPageBreak/>
        <w:t>Wydatki poniesione w ramach cross-</w:t>
      </w:r>
      <w:proofErr w:type="spellStart"/>
      <w:r w:rsidRPr="00664B7D">
        <w:t>financingu</w:t>
      </w:r>
      <w:proofErr w:type="spellEnd"/>
      <w:r w:rsidRPr="00664B7D">
        <w:t xml:space="preserve"> w wysokości przekraczającej kwotę określoną w zatwierdzonym wniosku o dofinansowanie projektu są niekwalifikowalne.</w:t>
      </w:r>
    </w:p>
    <w:p w14:paraId="0D6B9FC1" w14:textId="77777777" w:rsidR="00437F49" w:rsidRPr="00664B7D" w:rsidRDefault="005A5EDA" w:rsidP="001C3CAC">
      <w:r w:rsidRPr="00664B7D">
        <w:t>Kategorie wydatków, które zostaną poniesione w ramach cross-</w:t>
      </w:r>
      <w:proofErr w:type="spellStart"/>
      <w:r w:rsidRPr="00664B7D">
        <w:t>financingu</w:t>
      </w:r>
      <w:proofErr w:type="spellEnd"/>
      <w:r w:rsidRPr="00664B7D">
        <w:t>, uwzględnione są </w:t>
      </w:r>
      <w:r w:rsidR="00437F49" w:rsidRPr="00664B7D">
        <w:br/>
      </w:r>
      <w:r w:rsidRPr="00664B7D">
        <w:t>w zatwierdzonym wniosku o dofinansowanie projektu i podlegają rozliczeniu we wni</w:t>
      </w:r>
      <w:r w:rsidR="00E958F7" w:rsidRPr="00664B7D">
        <w:t>oskach Beneficjenta o płatność.</w:t>
      </w:r>
    </w:p>
    <w:p w14:paraId="74DC67AE" w14:textId="77777777" w:rsidR="005A5EDA" w:rsidRPr="00664B7D" w:rsidRDefault="005A5EDA" w:rsidP="001C3CAC">
      <w:pPr>
        <w:spacing w:after="0"/>
        <w:rPr>
          <w:rFonts w:cs="Arial"/>
        </w:rPr>
      </w:pPr>
      <w:r w:rsidRPr="00664B7D">
        <w:rPr>
          <w:rFonts w:cs="Arial"/>
        </w:rPr>
        <w:t>Cross-</w:t>
      </w:r>
      <w:proofErr w:type="spellStart"/>
      <w:r w:rsidRPr="00664B7D">
        <w:rPr>
          <w:rFonts w:cs="Arial"/>
        </w:rPr>
        <w:t>financing</w:t>
      </w:r>
      <w:proofErr w:type="spellEnd"/>
      <w:r w:rsidRPr="00664B7D">
        <w:rPr>
          <w:rFonts w:cs="Arial"/>
        </w:rPr>
        <w:t xml:space="preserve"> w projektach EFS+ dotyczy wyłącznie: </w:t>
      </w:r>
    </w:p>
    <w:p w14:paraId="468283BC" w14:textId="77777777" w:rsidR="005A5EDA" w:rsidRPr="00664B7D" w:rsidRDefault="005A5EDA" w:rsidP="001C3CAC">
      <w:pPr>
        <w:numPr>
          <w:ilvl w:val="1"/>
          <w:numId w:val="8"/>
        </w:numPr>
        <w:autoSpaceDE w:val="0"/>
        <w:autoSpaceDN w:val="0"/>
        <w:adjustRightInd w:val="0"/>
        <w:spacing w:after="0"/>
        <w:rPr>
          <w:rFonts w:cs="Arial"/>
        </w:rPr>
      </w:pPr>
      <w:r w:rsidRPr="00664B7D">
        <w:rPr>
          <w:rFonts w:cs="Arial"/>
        </w:rPr>
        <w:t xml:space="preserve">zakupu gruntu i nieruchomości, </w:t>
      </w:r>
    </w:p>
    <w:p w14:paraId="18049126" w14:textId="77777777" w:rsidR="005A5EDA" w:rsidRPr="00664B7D" w:rsidRDefault="005A5EDA" w:rsidP="001C3CAC">
      <w:pPr>
        <w:numPr>
          <w:ilvl w:val="1"/>
          <w:numId w:val="8"/>
        </w:numPr>
        <w:autoSpaceDE w:val="0"/>
        <w:autoSpaceDN w:val="0"/>
        <w:adjustRightInd w:val="0"/>
        <w:spacing w:after="0"/>
        <w:rPr>
          <w:rFonts w:cs="Arial"/>
        </w:rPr>
      </w:pPr>
      <w:r w:rsidRPr="00664B7D">
        <w:rPr>
          <w:rFonts w:cs="Arial"/>
        </w:rPr>
        <w:t xml:space="preserve">zakupu infrastruktury, </w:t>
      </w:r>
    </w:p>
    <w:p w14:paraId="02412E15" w14:textId="77777777" w:rsidR="005A5EDA" w:rsidRPr="00664B7D" w:rsidRDefault="005A5EDA" w:rsidP="001C3CAC">
      <w:pPr>
        <w:numPr>
          <w:ilvl w:val="1"/>
          <w:numId w:val="8"/>
        </w:numPr>
        <w:autoSpaceDE w:val="0"/>
        <w:autoSpaceDN w:val="0"/>
        <w:adjustRightInd w:val="0"/>
        <w:spacing w:after="0"/>
        <w:rPr>
          <w:rFonts w:cs="Arial"/>
        </w:rPr>
      </w:pPr>
      <w:r w:rsidRPr="00664B7D">
        <w:rPr>
          <w:rFonts w:cs="Arial"/>
        </w:rPr>
        <w:t xml:space="preserve">zakupu mebli, sprzętu i pojazdów, z wyjątkiem sytuacji, gdy: </w:t>
      </w:r>
    </w:p>
    <w:p w14:paraId="199195DA" w14:textId="77777777" w:rsidR="005A5EDA" w:rsidRPr="00664B7D" w:rsidRDefault="005A5EDA" w:rsidP="001C3CAC">
      <w:pPr>
        <w:spacing w:after="0"/>
        <w:ind w:left="425"/>
        <w:rPr>
          <w:rFonts w:cs="Arial"/>
        </w:rPr>
      </w:pPr>
      <w:r w:rsidRPr="00664B7D">
        <w:rPr>
          <w:rFonts w:cs="Arial"/>
        </w:rPr>
        <w:t xml:space="preserve">i) zakupy te zostaną zamortyzowane w całości w okresie realizacji projektu, </w:t>
      </w:r>
    </w:p>
    <w:p w14:paraId="012E84D9" w14:textId="77777777" w:rsidR="005A5EDA" w:rsidRPr="00664B7D" w:rsidRDefault="005A5EDA" w:rsidP="001C3CAC">
      <w:pPr>
        <w:spacing w:after="0"/>
        <w:ind w:left="425"/>
        <w:rPr>
          <w:rFonts w:cs="Arial"/>
        </w:rPr>
      </w:pPr>
      <w:r w:rsidRPr="00664B7D">
        <w:rPr>
          <w:rFonts w:cs="Arial"/>
        </w:rPr>
        <w:t xml:space="preserve">ii) Beneficjent udowodni, że zakup będzie najbardziej opłacalną opcją, </w:t>
      </w:r>
    </w:p>
    <w:p w14:paraId="70AB293C" w14:textId="77777777" w:rsidR="005A5EDA" w:rsidRPr="00664B7D" w:rsidRDefault="005A5EDA" w:rsidP="001C3CAC">
      <w:pPr>
        <w:spacing w:after="0"/>
        <w:ind w:left="425"/>
        <w:rPr>
          <w:rFonts w:cs="Arial"/>
        </w:rPr>
      </w:pPr>
      <w:r w:rsidRPr="00664B7D">
        <w:rPr>
          <w:rFonts w:cs="Arial"/>
        </w:rPr>
        <w:t>iii) zak</w:t>
      </w:r>
      <w:r w:rsidR="00974E2C" w:rsidRPr="00664B7D">
        <w:rPr>
          <w:rFonts w:cs="Arial"/>
        </w:rPr>
        <w:t>upy te są konieczne dla osiągnię</w:t>
      </w:r>
      <w:r w:rsidRPr="00664B7D">
        <w:rPr>
          <w:rFonts w:cs="Arial"/>
        </w:rPr>
        <w:t xml:space="preserve">cia celów projektu. </w:t>
      </w:r>
    </w:p>
    <w:p w14:paraId="7159C9AC" w14:textId="77777777" w:rsidR="005A5EDA" w:rsidRPr="00664B7D" w:rsidRDefault="005A5EDA" w:rsidP="001C3CAC">
      <w:pPr>
        <w:spacing w:after="120" w:line="240" w:lineRule="auto"/>
        <w:rPr>
          <w:rFonts w:cs="Arial"/>
        </w:rPr>
      </w:pPr>
    </w:p>
    <w:p w14:paraId="1C9AC000" w14:textId="77777777" w:rsidR="005A5EDA" w:rsidRPr="00664B7D" w:rsidRDefault="005A5EDA" w:rsidP="001C3CAC">
      <w:r w:rsidRPr="00664B7D">
        <w:t xml:space="preserve">Warunki z </w:t>
      </w:r>
      <w:proofErr w:type="spellStart"/>
      <w:r w:rsidRPr="00664B7D">
        <w:t>tiretów</w:t>
      </w:r>
      <w:proofErr w:type="spellEnd"/>
      <w:r w:rsidRPr="00664B7D">
        <w:t xml:space="preserve"> i-iii są rozłączne, co oznacza, że w przypadku spełnienia któregokolwiek z nich, zakup mebli, sprzętu i pojazdów może być kwalifikowalny w ramach EFS+ poza cross-</w:t>
      </w:r>
      <w:proofErr w:type="spellStart"/>
      <w:r w:rsidRPr="00664B7D">
        <w:t>financingiem</w:t>
      </w:r>
      <w:proofErr w:type="spellEnd"/>
      <w:r w:rsidRPr="00664B7D">
        <w:t xml:space="preserve">. Zakup mebli, sprzętu i pojazdów niespełniający żadnego z warunków wskazanych w </w:t>
      </w:r>
      <w:proofErr w:type="spellStart"/>
      <w:r w:rsidRPr="00664B7D">
        <w:t>tirecie</w:t>
      </w:r>
      <w:proofErr w:type="spellEnd"/>
      <w:r w:rsidRPr="00664B7D">
        <w:t xml:space="preserve"> i-iii stanowi cross-</w:t>
      </w:r>
      <w:proofErr w:type="spellStart"/>
      <w:r w:rsidRPr="00664B7D">
        <w:t>financing</w:t>
      </w:r>
      <w:proofErr w:type="spellEnd"/>
      <w:r w:rsidRPr="00664B7D">
        <w:t>.</w:t>
      </w:r>
    </w:p>
    <w:p w14:paraId="4169F4BD" w14:textId="522EA0A1" w:rsidR="00806B17" w:rsidRPr="00664B7D" w:rsidRDefault="00E958F7" w:rsidP="00806B17">
      <w:pPr>
        <w:rPr>
          <w:i/>
        </w:rPr>
      </w:pPr>
      <w:r w:rsidRPr="00664B7D">
        <w:t>Szczegółowe informacje w zakresie cross-</w:t>
      </w:r>
      <w:proofErr w:type="spellStart"/>
      <w:r w:rsidRPr="00664B7D">
        <w:t>financingu</w:t>
      </w:r>
      <w:proofErr w:type="spellEnd"/>
      <w:r w:rsidRPr="00664B7D">
        <w:t xml:space="preserve"> znajdują się w </w:t>
      </w:r>
      <w:r w:rsidR="0014574E" w:rsidRPr="00664B7D">
        <w:rPr>
          <w:iCs/>
        </w:rPr>
        <w:t xml:space="preserve">Wytycznych </w:t>
      </w:r>
      <w:r w:rsidR="00974E2C" w:rsidRPr="00664B7D">
        <w:rPr>
          <w:iCs/>
        </w:rPr>
        <w:t>kwalifikowalności</w:t>
      </w:r>
      <w:r w:rsidR="009D617C" w:rsidRPr="00664B7D">
        <w:rPr>
          <w:iCs/>
        </w:rPr>
        <w:t>.</w:t>
      </w:r>
    </w:p>
    <w:p w14:paraId="2D52877A" w14:textId="1F637041" w:rsidR="00806B17" w:rsidRPr="008D6571" w:rsidRDefault="008B7058" w:rsidP="001C3CAC">
      <w:pPr>
        <w:rPr>
          <w:i/>
        </w:rPr>
      </w:pPr>
      <w:r w:rsidRPr="008D6571">
        <w:rPr>
          <w:rFonts w:eastAsia="Calibri" w:cs="Arial"/>
          <w:b/>
          <w:color w:val="2F5496"/>
        </w:rPr>
        <w:t xml:space="preserve">UWAGA! </w:t>
      </w:r>
      <w:r w:rsidR="00806B17" w:rsidRPr="008D6571">
        <w:t>Jeżeli w ramach projektu grantowego będą finansowane wydatki w ramach cross</w:t>
      </w:r>
      <w:r w:rsidR="00032C80" w:rsidRPr="008D6571">
        <w:t>-</w:t>
      </w:r>
      <w:proofErr w:type="spellStart"/>
      <w:r w:rsidR="00806B17" w:rsidRPr="008D6571">
        <w:t>financingu</w:t>
      </w:r>
      <w:proofErr w:type="spellEnd"/>
      <w:r w:rsidR="00806B17" w:rsidRPr="008D6571">
        <w:t>, wyd</w:t>
      </w:r>
      <w:r w:rsidR="00EE6487" w:rsidRPr="008D6571">
        <w:t xml:space="preserve">atki te poniesione na poziomie </w:t>
      </w:r>
      <w:proofErr w:type="spellStart"/>
      <w:r w:rsidR="00EE6487" w:rsidRPr="008D6571">
        <w:t>G</w:t>
      </w:r>
      <w:r w:rsidR="00806B17" w:rsidRPr="008D6571">
        <w:t>rantobiorcy</w:t>
      </w:r>
      <w:proofErr w:type="spellEnd"/>
      <w:r w:rsidR="00806B17" w:rsidRPr="008D6571">
        <w:t xml:space="preserve"> wliczane są do limitu cross-</w:t>
      </w:r>
      <w:proofErr w:type="spellStart"/>
      <w:r w:rsidR="00806B17" w:rsidRPr="008D6571">
        <w:t>financingu</w:t>
      </w:r>
      <w:proofErr w:type="spellEnd"/>
      <w:r w:rsidR="00806B17" w:rsidRPr="008D6571">
        <w:t xml:space="preserve"> w całym projekcie. </w:t>
      </w:r>
    </w:p>
    <w:p w14:paraId="4929C2FD" w14:textId="77777777" w:rsidR="005A5EDA" w:rsidRPr="00664B7D" w:rsidRDefault="005A5EDA" w:rsidP="00624057">
      <w:pPr>
        <w:pStyle w:val="Podrozdzia-K"/>
      </w:pPr>
      <w:bookmarkStart w:id="35" w:name="_Toc134446811"/>
      <w:bookmarkStart w:id="36" w:name="_Toc145936726"/>
      <w:r w:rsidRPr="00664B7D">
        <w:t>Wkład własny</w:t>
      </w:r>
      <w:bookmarkEnd w:id="35"/>
      <w:bookmarkEnd w:id="36"/>
    </w:p>
    <w:p w14:paraId="622A4072" w14:textId="77777777" w:rsidR="005A5EDA" w:rsidRPr="00664B7D" w:rsidRDefault="005A5EDA" w:rsidP="001C3CAC">
      <w:pPr>
        <w:spacing w:after="0"/>
      </w:pPr>
      <w:r w:rsidRPr="00664B7D">
        <w:t>Wkładem własnym jest wkład Beneficjenta do projektu (pieniężny lub niepieniężny), który nie zostanie Beneficjentowi przekazany w formie dofinansowania.</w:t>
      </w:r>
    </w:p>
    <w:p w14:paraId="09F73BC5" w14:textId="77777777" w:rsidR="005A5EDA" w:rsidRPr="00664B7D" w:rsidRDefault="005A5EDA" w:rsidP="001C3CAC">
      <w:pPr>
        <w:spacing w:after="0"/>
      </w:pPr>
      <w:r w:rsidRPr="00664B7D">
        <w:t>Wkład własny Wnioskodawcy jest wykazywany we wniosku o dofinansowanie projektu, przy czym to Wnioskodawca określa formę wniesienia wkładu własnego.</w:t>
      </w:r>
    </w:p>
    <w:p w14:paraId="6CBCACAF" w14:textId="77777777" w:rsidR="005A5EDA" w:rsidRPr="00664B7D" w:rsidRDefault="005A5EDA" w:rsidP="001C3CAC">
      <w:pPr>
        <w:spacing w:after="0"/>
      </w:pPr>
      <w:r w:rsidRPr="00664B7D">
        <w:t xml:space="preserve">Do realizacji projektu jest wymagane wniesienie przez Wnioskodawcę wkładu własnego. </w:t>
      </w:r>
    </w:p>
    <w:p w14:paraId="1D39B7A7" w14:textId="77777777" w:rsidR="005A5EDA" w:rsidRPr="00664B7D" w:rsidRDefault="005A5EDA" w:rsidP="001C3CAC">
      <w:pPr>
        <w:spacing w:after="0"/>
      </w:pPr>
      <w:r w:rsidRPr="00664B7D">
        <w:t xml:space="preserve">Źródłem finansowania wkładu własnego mogą być zarówno środki publiczne jak i prywatne. </w:t>
      </w:r>
      <w:r w:rsidR="001114A6" w:rsidRPr="00664B7D">
        <w:br/>
      </w:r>
      <w:r w:rsidRPr="00664B7D">
        <w:t>O zakwalifikowaniu źródła pochodzenia wkładu własnego decyduje status prawny podmiotu wnoszącego wkład, tj. Beneficjenta/Partnera/strony trzeciej lub uczestnika. Wkład własny może pochodzić m.in. z budżetu JST, budżetu państwa, Funduszu Pracy, środków prywatnych, środków PFRON.</w:t>
      </w:r>
    </w:p>
    <w:p w14:paraId="4A4741BB" w14:textId="77777777" w:rsidR="005A5EDA" w:rsidRPr="00664B7D" w:rsidRDefault="005A5EDA" w:rsidP="001C3CAC">
      <w:pPr>
        <w:spacing w:after="0"/>
      </w:pPr>
      <w:r w:rsidRPr="00664B7D">
        <w:lastRenderedPageBreak/>
        <w:t>Wkład własny lub jego część może być wniesiony w ramach kosztów pośrednich jak i bezpośrednich.</w:t>
      </w:r>
    </w:p>
    <w:p w14:paraId="2AB18863" w14:textId="77777777" w:rsidR="005A5EDA" w:rsidRPr="00664B7D" w:rsidRDefault="005A5EDA" w:rsidP="001C3CAC">
      <w:pPr>
        <w:spacing w:after="0"/>
      </w:pPr>
      <w:r w:rsidRPr="00664B7D">
        <w:t>Wkład własny wnoszony w ramach kosztów pośrednich należy traktować jako wkład pieniężny.</w:t>
      </w:r>
    </w:p>
    <w:p w14:paraId="77CA158E" w14:textId="77777777" w:rsidR="005A5EDA" w:rsidRPr="00664B7D" w:rsidRDefault="005A5EDA" w:rsidP="001C3CAC">
      <w:pPr>
        <w:spacing w:after="0"/>
      </w:pPr>
      <w:r w:rsidRPr="00664B7D">
        <w:t xml:space="preserve">W przypadku niewniesienia wkładu własnego w procencie określonym w </w:t>
      </w:r>
      <w:bookmarkStart w:id="37" w:name="_Hlk137805914"/>
      <w:r w:rsidR="00DE2FAF" w:rsidRPr="00664B7D">
        <w:t>Z</w:t>
      </w:r>
      <w:r w:rsidR="003F10A6" w:rsidRPr="00664B7D">
        <w:t>a</w:t>
      </w:r>
      <w:r w:rsidR="00DE2FAF" w:rsidRPr="00664B7D">
        <w:t>sadach realizacji projektu</w:t>
      </w:r>
      <w:bookmarkEnd w:id="37"/>
      <w:r w:rsidRPr="00664B7D">
        <w:t xml:space="preserve">, IZ pomniejsza kwotę przyznanego dofinansowania, o której mowa w </w:t>
      </w:r>
      <w:r w:rsidR="00DE2FAF" w:rsidRPr="00664B7D">
        <w:t>Zasadach realizacji projektu</w:t>
      </w:r>
      <w:r w:rsidRPr="00664B7D">
        <w:t xml:space="preserve"> proporcjonalnie, z zachowaniem udziału procentowego określonego </w:t>
      </w:r>
      <w:r w:rsidR="00F53A30" w:rsidRPr="00664B7D">
        <w:br/>
      </w:r>
      <w:r w:rsidRPr="00664B7D">
        <w:t xml:space="preserve">w </w:t>
      </w:r>
      <w:r w:rsidR="00DE2FAF" w:rsidRPr="00664B7D">
        <w:t>Zasadach realizacji projektu</w:t>
      </w:r>
      <w:r w:rsidRPr="00664B7D">
        <w:t xml:space="preserve">. </w:t>
      </w:r>
    </w:p>
    <w:p w14:paraId="1EA9CF64" w14:textId="77777777" w:rsidR="001608DB" w:rsidRPr="00664B7D" w:rsidRDefault="005A5EDA" w:rsidP="001608DB">
      <w:pPr>
        <w:spacing w:after="120"/>
      </w:pPr>
      <w:r w:rsidRPr="00664B7D">
        <w:t>Wkład własny, który zostanie rozliczony w w</w:t>
      </w:r>
      <w:r w:rsidR="00993BF8" w:rsidRPr="00664B7D">
        <w:t>artości</w:t>
      </w:r>
      <w:r w:rsidRPr="00664B7D">
        <w:t xml:space="preserve"> przekraczającej wykazaną w </w:t>
      </w:r>
      <w:r w:rsidR="00DE2FAF" w:rsidRPr="00664B7D">
        <w:t xml:space="preserve">Zasadach realizacji projektu </w:t>
      </w:r>
      <w:r w:rsidRPr="00664B7D">
        <w:t>wartość może zostać uznany za niekwalifikowalny.</w:t>
      </w:r>
    </w:p>
    <w:p w14:paraId="7385EAE5" w14:textId="77777777" w:rsidR="00D3622A" w:rsidRPr="00664B7D" w:rsidRDefault="00D3622A" w:rsidP="001C3CAC">
      <w:r w:rsidRPr="00664B7D">
        <w:t xml:space="preserve">Szczegółowe informacje dot. wkładu własnego znajdują się w </w:t>
      </w:r>
      <w:r w:rsidRPr="00664B7D">
        <w:rPr>
          <w:i/>
        </w:rPr>
        <w:t>Wytycznych kwalifikowalności</w:t>
      </w:r>
      <w:r w:rsidR="00EA16F1" w:rsidRPr="00664B7D">
        <w:t>.</w:t>
      </w:r>
    </w:p>
    <w:p w14:paraId="73913C8A" w14:textId="77777777" w:rsidR="005A5EDA" w:rsidRPr="00664B7D" w:rsidRDefault="005A5EDA" w:rsidP="00624057">
      <w:pPr>
        <w:pStyle w:val="Podrozdzia-K"/>
      </w:pPr>
      <w:bookmarkStart w:id="38" w:name="_Toc134446812"/>
      <w:bookmarkStart w:id="39" w:name="_Toc145936727"/>
      <w:r w:rsidRPr="00624057">
        <w:t>Personel</w:t>
      </w:r>
      <w:r w:rsidRPr="00664B7D">
        <w:t xml:space="preserve"> projektu</w:t>
      </w:r>
      <w:bookmarkEnd w:id="38"/>
      <w:bookmarkEnd w:id="39"/>
    </w:p>
    <w:p w14:paraId="25CC62F6" w14:textId="77777777" w:rsidR="005A5EDA" w:rsidRPr="00664B7D" w:rsidRDefault="005A5EDA" w:rsidP="001C3CAC">
      <w:pPr>
        <w:spacing w:after="0"/>
        <w:rPr>
          <w:bCs/>
        </w:rPr>
      </w:pPr>
      <w:r w:rsidRPr="00664B7D">
        <w:rPr>
          <w:bCs/>
        </w:rPr>
        <w:t xml:space="preserve">Szczegółowe zasady angażowania personelu projektu oraz katalogu wydatków kwalifikowalnych w ramach wynagrodzenia personelu projektu określa podrozdział 3.8 </w:t>
      </w:r>
      <w:r w:rsidRPr="00664B7D">
        <w:rPr>
          <w:bCs/>
          <w:i/>
          <w:iCs/>
        </w:rPr>
        <w:t>Wytycznych kwalifikowalności</w:t>
      </w:r>
      <w:r w:rsidRPr="00664B7D">
        <w:rPr>
          <w:bCs/>
        </w:rPr>
        <w:t>. Podstawowe zasady kwalifikowania kosztów personelu w projekcie:</w:t>
      </w:r>
    </w:p>
    <w:p w14:paraId="2CFD2F57" w14:textId="44D643B5" w:rsidR="005A5EDA" w:rsidRPr="00664B7D" w:rsidRDefault="005A5EDA" w:rsidP="00790DF9">
      <w:pPr>
        <w:numPr>
          <w:ilvl w:val="0"/>
          <w:numId w:val="13"/>
        </w:numPr>
        <w:spacing w:after="0"/>
        <w:ind w:left="426" w:hanging="426"/>
        <w:rPr>
          <w:bCs/>
        </w:rPr>
      </w:pPr>
      <w:r w:rsidRPr="00664B7D">
        <w:rPr>
          <w:bCs/>
        </w:rPr>
        <w:t xml:space="preserve">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zwanej dalej: „ustawą o działalności pożytku publicznego i wolontariacie”; personelem projektu jest również osoba fizyczna prowadząca działalność gospodarczą będąca Beneficjentem oraz osoby z nią współpracujące w rozumieniu art. 8 ust. 11 ustawy z dnia 13 października 1998 r. </w:t>
      </w:r>
      <w:r w:rsidR="008D6571">
        <w:rPr>
          <w:bCs/>
        </w:rPr>
        <w:br/>
      </w:r>
      <w:r w:rsidRPr="00664B7D">
        <w:rPr>
          <w:bCs/>
        </w:rPr>
        <w:t>o systemie ubezpieczeń społecznych.</w:t>
      </w:r>
    </w:p>
    <w:p w14:paraId="080DEA63" w14:textId="77777777" w:rsidR="005A5EDA" w:rsidRPr="00664B7D" w:rsidRDefault="005A5EDA" w:rsidP="00790DF9">
      <w:pPr>
        <w:numPr>
          <w:ilvl w:val="0"/>
          <w:numId w:val="12"/>
        </w:numPr>
        <w:spacing w:after="0"/>
        <w:ind w:left="426" w:hanging="426"/>
        <w:rPr>
          <w:bCs/>
        </w:rPr>
      </w:pPr>
      <w:r w:rsidRPr="00664B7D">
        <w:rPr>
          <w:bC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18E579E9" w14:textId="77777777" w:rsidR="005A5EDA" w:rsidRPr="00664B7D" w:rsidRDefault="005A5EDA" w:rsidP="00790DF9">
      <w:pPr>
        <w:numPr>
          <w:ilvl w:val="0"/>
          <w:numId w:val="12"/>
        </w:numPr>
        <w:spacing w:after="0"/>
        <w:ind w:left="426" w:hanging="426"/>
        <w:rPr>
          <w:bCs/>
        </w:rPr>
      </w:pPr>
      <w:r w:rsidRPr="00664B7D">
        <w:rPr>
          <w:bCs/>
        </w:rPr>
        <w:t xml:space="preserve">Wydatki związane z wynagrodzeniem personelu projektu są ponoszone zgodnie z przepisami krajowymi, w szczególności zgodnie z ustawą z dnia 26 czerwca 1974 r. Kodeks pracy. </w:t>
      </w:r>
    </w:p>
    <w:p w14:paraId="36829DFC" w14:textId="6AF04547" w:rsidR="005A5EDA" w:rsidRPr="00664B7D" w:rsidRDefault="005A5EDA" w:rsidP="00790DF9">
      <w:pPr>
        <w:numPr>
          <w:ilvl w:val="0"/>
          <w:numId w:val="12"/>
        </w:numPr>
        <w:spacing w:after="0"/>
        <w:ind w:left="426" w:hanging="426"/>
        <w:rPr>
          <w:bCs/>
        </w:rPr>
      </w:pPr>
      <w:r w:rsidRPr="00664B7D">
        <w:rPr>
          <w:bCs/>
        </w:rPr>
        <w:t xml:space="preserve">Wnioskodawca wykazuje we wniosku o dofinansowanie projektu formę zaangażowania </w:t>
      </w:r>
      <w:r w:rsidR="008D6571">
        <w:rPr>
          <w:bCs/>
        </w:rPr>
        <w:br/>
      </w:r>
      <w:r w:rsidRPr="00664B7D">
        <w:rPr>
          <w:bCs/>
        </w:rPr>
        <w:t xml:space="preserve">i szacunkowy wymiar czasu pracy personelu projektu niezbędnego do realizacji zadań </w:t>
      </w:r>
      <w:r w:rsidRPr="00664B7D">
        <w:rPr>
          <w:bCs/>
        </w:rPr>
        <w:lastRenderedPageBreak/>
        <w:t>merytorycznych (etat/liczba godzin), co jest podstawą do oceny zasadności i racjonalności wydatków związanych z personelem projektu.</w:t>
      </w:r>
    </w:p>
    <w:p w14:paraId="4BF3AB2E" w14:textId="77777777" w:rsidR="005A5EDA" w:rsidRPr="00664B7D" w:rsidRDefault="005A5EDA" w:rsidP="00790DF9">
      <w:pPr>
        <w:numPr>
          <w:ilvl w:val="0"/>
          <w:numId w:val="12"/>
        </w:numPr>
        <w:spacing w:after="0"/>
        <w:ind w:left="426" w:hanging="426"/>
        <w:rPr>
          <w:bCs/>
        </w:rPr>
      </w:pPr>
      <w:r w:rsidRPr="00664B7D">
        <w:rPr>
          <w:bCs/>
        </w:rPr>
        <w:t>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5DFAED5C" w14:textId="77777777" w:rsidR="005A5EDA" w:rsidRPr="00664B7D" w:rsidRDefault="005A5EDA" w:rsidP="00790DF9">
      <w:pPr>
        <w:numPr>
          <w:ilvl w:val="0"/>
          <w:numId w:val="12"/>
        </w:numPr>
        <w:spacing w:after="0"/>
        <w:ind w:left="426" w:hanging="426"/>
        <w:rPr>
          <w:bCs/>
        </w:rPr>
      </w:pPr>
      <w:r w:rsidRPr="00664B7D">
        <w:rPr>
          <w:bCs/>
        </w:rPr>
        <w:t xml:space="preserve">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7E70C09A" w14:textId="77777777" w:rsidR="00EA16F1" w:rsidRPr="00664B7D" w:rsidRDefault="00EA16F1" w:rsidP="00790DF9">
      <w:pPr>
        <w:spacing w:after="0"/>
        <w:ind w:left="426" w:hanging="426"/>
        <w:rPr>
          <w:bCs/>
        </w:rPr>
      </w:pPr>
    </w:p>
    <w:p w14:paraId="4699E083" w14:textId="77777777" w:rsidR="00D3622A" w:rsidRPr="00664B7D" w:rsidRDefault="005A5EDA" w:rsidP="001C3CAC">
      <w:pPr>
        <w:spacing w:after="0"/>
        <w:rPr>
          <w:bCs/>
        </w:rPr>
      </w:pPr>
      <w:r w:rsidRPr="00664B7D">
        <w:rPr>
          <w:rFonts w:eastAsia="Calibri" w:cs="Arial"/>
          <w:b/>
          <w:color w:val="2F5496"/>
        </w:rPr>
        <w:t xml:space="preserve">UWAGA! </w:t>
      </w:r>
      <w:r w:rsidRPr="00664B7D">
        <w:rPr>
          <w:bCs/>
        </w:rPr>
        <w:t>Uregulowania dotyczące angażowania personelu nie mają zastosowania do personelu projektu zaangażowanego w ramach działań/zadań rozliczanych na po</w:t>
      </w:r>
      <w:r w:rsidR="00D3622A" w:rsidRPr="00664B7D">
        <w:rPr>
          <w:bCs/>
        </w:rPr>
        <w:t>dstawie</w:t>
      </w:r>
      <w:r w:rsidRPr="00664B7D">
        <w:rPr>
          <w:bCs/>
        </w:rPr>
        <w:t xml:space="preserve"> kosztów pośrednich. </w:t>
      </w:r>
    </w:p>
    <w:p w14:paraId="1846D224" w14:textId="77777777" w:rsidR="00EA16F1" w:rsidRPr="008D6571" w:rsidRDefault="005A5EDA" w:rsidP="00624057">
      <w:pPr>
        <w:pStyle w:val="Podrozdzia-K"/>
      </w:pPr>
      <w:bookmarkStart w:id="40" w:name="_Toc134446813"/>
      <w:bookmarkStart w:id="41" w:name="_Toc145936728"/>
      <w:r w:rsidRPr="00624057">
        <w:t>Pomoc</w:t>
      </w:r>
      <w:r w:rsidRPr="008D6571">
        <w:t xml:space="preserve"> publiczna, pomoc de </w:t>
      </w:r>
      <w:proofErr w:type="spellStart"/>
      <w:r w:rsidRPr="008D6571">
        <w:t>minimis</w:t>
      </w:r>
      <w:bookmarkEnd w:id="40"/>
      <w:bookmarkEnd w:id="41"/>
      <w:proofErr w:type="spellEnd"/>
      <w:r w:rsidR="0006273C" w:rsidRPr="008D6571">
        <w:t xml:space="preserve"> </w:t>
      </w:r>
    </w:p>
    <w:p w14:paraId="6FF86CAB" w14:textId="275D3496" w:rsidR="005A5EDA" w:rsidRPr="00664B7D" w:rsidRDefault="002E1945" w:rsidP="00790DF9">
      <w:pPr>
        <w:autoSpaceDE w:val="0"/>
        <w:autoSpaceDN w:val="0"/>
        <w:adjustRightInd w:val="0"/>
        <w:spacing w:after="120"/>
        <w:ind w:left="426" w:hanging="426"/>
      </w:pPr>
      <w:r w:rsidRPr="00664B7D">
        <w:rPr>
          <w:rFonts w:cs="Arial"/>
        </w:rPr>
        <w:t xml:space="preserve">1. </w:t>
      </w:r>
      <w:r w:rsidR="00790DF9" w:rsidRPr="00664B7D">
        <w:rPr>
          <w:rFonts w:cs="Arial"/>
        </w:rPr>
        <w:tab/>
      </w:r>
      <w:r w:rsidR="005A5EDA" w:rsidRPr="00664B7D">
        <w:rPr>
          <w:rFonts w:cs="Arial"/>
        </w:rPr>
        <w:t xml:space="preserve">Wystąpienie przesłanek do udzielania pomocy de </w:t>
      </w:r>
      <w:proofErr w:type="spellStart"/>
      <w:r w:rsidR="005A5EDA" w:rsidRPr="00664B7D">
        <w:rPr>
          <w:rFonts w:cs="Arial"/>
        </w:rPr>
        <w:t>minimis</w:t>
      </w:r>
      <w:proofErr w:type="spellEnd"/>
      <w:r w:rsidR="005A5EDA" w:rsidRPr="00664B7D">
        <w:rPr>
          <w:rFonts w:cs="Arial"/>
        </w:rPr>
        <w:t xml:space="preserve"> weryfikowane jest na</w:t>
      </w:r>
      <w:r w:rsidR="005A5EDA" w:rsidRPr="00664B7D">
        <w:t> </w:t>
      </w:r>
      <w:r w:rsidR="005A5EDA" w:rsidRPr="00664B7D">
        <w:rPr>
          <w:rFonts w:cs="Arial"/>
        </w:rPr>
        <w:t>etapie oceny formalno-merytorycznej na podstawie zapisów we wniosku o</w:t>
      </w:r>
      <w:r w:rsidR="005A5EDA" w:rsidRPr="00664B7D">
        <w:t> </w:t>
      </w:r>
      <w:r w:rsidR="005A5EDA" w:rsidRPr="00664B7D">
        <w:rPr>
          <w:rFonts w:cs="Arial"/>
        </w:rPr>
        <w:t>dofinansowanie.</w:t>
      </w:r>
    </w:p>
    <w:p w14:paraId="3351439E" w14:textId="3BB94069" w:rsidR="00974E2C" w:rsidRPr="00664B7D" w:rsidRDefault="002E1945" w:rsidP="00790DF9">
      <w:pPr>
        <w:autoSpaceDE w:val="0"/>
        <w:autoSpaceDN w:val="0"/>
        <w:adjustRightInd w:val="0"/>
        <w:spacing w:after="120"/>
        <w:ind w:left="426" w:hanging="426"/>
        <w:rPr>
          <w:rFonts w:cs="Arial"/>
        </w:rPr>
      </w:pPr>
      <w:r w:rsidRPr="00664B7D">
        <w:rPr>
          <w:rFonts w:cs="Arial"/>
        </w:rPr>
        <w:t>2.</w:t>
      </w:r>
      <w:r w:rsidR="00790DF9" w:rsidRPr="00664B7D">
        <w:rPr>
          <w:rFonts w:cs="Arial"/>
        </w:rPr>
        <w:tab/>
      </w:r>
      <w:r w:rsidR="005A5EDA" w:rsidRPr="00664B7D">
        <w:rPr>
          <w:rFonts w:cs="Arial"/>
        </w:rPr>
        <w:t xml:space="preserve">Szczegółowe warunki i tryb udzielania pomocy de </w:t>
      </w:r>
      <w:proofErr w:type="spellStart"/>
      <w:r w:rsidR="005A5EDA" w:rsidRPr="00664B7D">
        <w:rPr>
          <w:rFonts w:cs="Arial"/>
        </w:rPr>
        <w:t>minimis</w:t>
      </w:r>
      <w:proofErr w:type="spellEnd"/>
      <w:r w:rsidR="005A5EDA" w:rsidRPr="00664B7D">
        <w:rPr>
          <w:rFonts w:cs="Arial"/>
        </w:rPr>
        <w:t xml:space="preserve"> zostały określone w</w:t>
      </w:r>
      <w:r w:rsidR="005A5EDA" w:rsidRPr="00664B7D">
        <w:t> </w:t>
      </w:r>
      <w:r w:rsidR="005A5EDA" w:rsidRPr="00664B7D">
        <w:rPr>
          <w:rFonts w:cs="Arial"/>
        </w:rPr>
        <w:t>Rozporządzeniu Ministra Funduszy i Polityki Regionalnej z dnia 20 grudnia 2022 r.</w:t>
      </w:r>
      <w:r w:rsidR="005A5EDA" w:rsidRPr="00664B7D">
        <w:t xml:space="preserve"> </w:t>
      </w:r>
      <w:r w:rsidR="005A5EDA" w:rsidRPr="00664B7D">
        <w:rPr>
          <w:rFonts w:cs="Arial"/>
        </w:rPr>
        <w:t xml:space="preserve">w sprawie udzielania pomocy de </w:t>
      </w:r>
      <w:proofErr w:type="spellStart"/>
      <w:r w:rsidR="005A5EDA" w:rsidRPr="00664B7D">
        <w:rPr>
          <w:rFonts w:cs="Arial"/>
        </w:rPr>
        <w:t>minimis</w:t>
      </w:r>
      <w:proofErr w:type="spellEnd"/>
      <w:r w:rsidR="005A5EDA" w:rsidRPr="00664B7D">
        <w:rPr>
          <w:rFonts w:cs="Arial"/>
        </w:rPr>
        <w:t xml:space="preserve"> oraz pomocy publicznej w ramach</w:t>
      </w:r>
      <w:r w:rsidR="005A5EDA" w:rsidRPr="00664B7D">
        <w:t xml:space="preserve"> </w:t>
      </w:r>
      <w:r w:rsidR="005A5EDA" w:rsidRPr="00664B7D">
        <w:rPr>
          <w:rFonts w:cs="Arial"/>
        </w:rPr>
        <w:t>programów finansowanych z Europejskiego Funduszu Społecznego Plus (EFS+)</w:t>
      </w:r>
      <w:r w:rsidR="005A5EDA" w:rsidRPr="00664B7D">
        <w:t xml:space="preserve"> </w:t>
      </w:r>
      <w:r w:rsidR="005A5EDA" w:rsidRPr="00664B7D">
        <w:rPr>
          <w:rFonts w:cs="Arial"/>
        </w:rPr>
        <w:t>na lata 2021-2027.</w:t>
      </w:r>
    </w:p>
    <w:p w14:paraId="4F9BE355" w14:textId="77777777" w:rsidR="005A5EDA" w:rsidRPr="00664B7D" w:rsidRDefault="005A5EDA" w:rsidP="00624057">
      <w:pPr>
        <w:pStyle w:val="Podrozdzia-K"/>
      </w:pPr>
      <w:bookmarkStart w:id="42" w:name="_Toc134446814"/>
      <w:bookmarkStart w:id="43" w:name="_Toc145936729"/>
      <w:r w:rsidRPr="00664B7D">
        <w:t>VAT</w:t>
      </w:r>
      <w:bookmarkEnd w:id="42"/>
      <w:bookmarkEnd w:id="43"/>
      <w:r w:rsidRPr="00664B7D">
        <w:tab/>
      </w:r>
    </w:p>
    <w:p w14:paraId="2AD3A5B1" w14:textId="77777777" w:rsidR="00407332" w:rsidRPr="008D6571" w:rsidRDefault="00407332" w:rsidP="00407332">
      <w:r w:rsidRPr="008D6571">
        <w:t xml:space="preserve">Podatek VAT w projekcie, którego łączny koszt jest mniejszy niż 5 mln EUR (włączając VAT), jest kwalifikowalny. </w:t>
      </w:r>
    </w:p>
    <w:p w14:paraId="14883F89" w14:textId="77777777" w:rsidR="00407332" w:rsidRPr="008D6571" w:rsidRDefault="00407332" w:rsidP="00407332">
      <w:r w:rsidRPr="008D6571">
        <w:t xml:space="preserve">Podatek VAT w projekcie, którego łączny koszt wynosi co najmniej 5 mln EUR (włączając VAT), jest niekwalifikowalny. </w:t>
      </w:r>
    </w:p>
    <w:p w14:paraId="4389029C" w14:textId="77777777" w:rsidR="00407332" w:rsidRDefault="00407332" w:rsidP="00407332">
      <w:r w:rsidRPr="008D6571">
        <w:lastRenderedPageBreak/>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39AED279" w14:textId="101AB0E2" w:rsidR="00B95D07" w:rsidRPr="00664B7D" w:rsidRDefault="00B95D07" w:rsidP="00624057">
      <w:pPr>
        <w:pStyle w:val="TreNum-K"/>
        <w:spacing w:after="120"/>
      </w:pPr>
      <w:r w:rsidRPr="00664B7D">
        <w:rPr>
          <w:rFonts w:eastAsia="Calibri"/>
          <w:b/>
          <w:color w:val="2F5496"/>
        </w:rPr>
        <w:t xml:space="preserve">UWAGA! </w:t>
      </w:r>
      <w:r w:rsidRPr="00664B7D">
        <w:t>W projekcie grantowym, analizę przekroczenia limitu kwalifikowalności podatku VAT (próg 5 mln EUR) należy weryfikować na poziomie całego projektu grantowego, a nie pojedynczych grantów.</w:t>
      </w:r>
    </w:p>
    <w:p w14:paraId="35803456" w14:textId="77777777" w:rsidR="005A5EDA" w:rsidRPr="00664B7D" w:rsidRDefault="005A5EDA" w:rsidP="00624057">
      <w:pPr>
        <w:pStyle w:val="Podrozdzia-K"/>
      </w:pPr>
      <w:bookmarkStart w:id="44" w:name="_Toc134446815"/>
      <w:bookmarkStart w:id="45" w:name="_Toc145936730"/>
      <w:bookmarkStart w:id="46" w:name="podr_3_7"/>
      <w:r w:rsidRPr="00624057">
        <w:t>Koszty</w:t>
      </w:r>
      <w:r w:rsidRPr="00664B7D">
        <w:t xml:space="preserve"> pośrednie</w:t>
      </w:r>
      <w:bookmarkEnd w:id="44"/>
      <w:bookmarkEnd w:id="45"/>
      <w:r w:rsidR="00E625A0" w:rsidRPr="00664B7D">
        <w:t xml:space="preserve"> </w:t>
      </w:r>
    </w:p>
    <w:bookmarkEnd w:id="46"/>
    <w:p w14:paraId="12648895" w14:textId="77777777" w:rsidR="005A5EDA" w:rsidRPr="00664B7D" w:rsidRDefault="005A5EDA" w:rsidP="001C3CAC">
      <w:pPr>
        <w:spacing w:after="120"/>
        <w:contextualSpacing/>
        <w:rPr>
          <w:rFonts w:cstheme="minorHAnsi"/>
          <w:bCs/>
        </w:rPr>
      </w:pPr>
      <w:r w:rsidRPr="00664B7D">
        <w:rPr>
          <w:rFonts w:cstheme="minorHAnsi"/>
          <w:bCs/>
        </w:rPr>
        <w:t xml:space="preserve">Koszty pośrednie projektu są kwalifikowalne w ramach naboru i stanowią </w:t>
      </w:r>
      <w:r w:rsidR="003D2346" w:rsidRPr="00664B7D">
        <w:rPr>
          <w:rFonts w:cstheme="minorHAnsi"/>
          <w:b/>
        </w:rPr>
        <w:t>10%</w:t>
      </w:r>
      <w:r w:rsidR="003D2346" w:rsidRPr="00664B7D">
        <w:rPr>
          <w:rFonts w:cstheme="minorHAnsi"/>
        </w:rPr>
        <w:t xml:space="preserve"> wartości kosztów bezpośrednich. Koszty pośrednie stanowią </w:t>
      </w:r>
      <w:r w:rsidRPr="00664B7D">
        <w:rPr>
          <w:rFonts w:cstheme="minorHAnsi"/>
          <w:bCs/>
        </w:rPr>
        <w:t xml:space="preserve">koszty administracyjne związane </w:t>
      </w:r>
      <w:r w:rsidR="00F53A30" w:rsidRPr="00664B7D">
        <w:rPr>
          <w:rFonts w:cstheme="minorHAnsi"/>
          <w:bCs/>
        </w:rPr>
        <w:br/>
      </w:r>
      <w:r w:rsidRPr="00664B7D">
        <w:rPr>
          <w:rFonts w:cstheme="minorHAnsi"/>
          <w:bCs/>
        </w:rPr>
        <w:t>z technicz</w:t>
      </w:r>
      <w:r w:rsidR="003D2346" w:rsidRPr="00664B7D">
        <w:rPr>
          <w:rFonts w:cstheme="minorHAnsi"/>
          <w:bCs/>
        </w:rPr>
        <w:t>ną obsługą realizacji projektu.</w:t>
      </w:r>
    </w:p>
    <w:p w14:paraId="35D87E97" w14:textId="77777777" w:rsidR="005A5EDA" w:rsidRPr="00664B7D" w:rsidRDefault="005A5EDA" w:rsidP="001C3CAC">
      <w:pPr>
        <w:spacing w:after="120"/>
        <w:rPr>
          <w:rFonts w:cstheme="minorHAnsi"/>
          <w:bCs/>
        </w:rPr>
      </w:pPr>
      <w:r w:rsidRPr="00664B7D">
        <w:rPr>
          <w:rFonts w:cstheme="minorHAnsi"/>
          <w:bCs/>
        </w:rPr>
        <w:t xml:space="preserve">Katalog kosztów pośrednich został wskazany w podrozdziale 3.12. </w:t>
      </w:r>
      <w:r w:rsidRPr="00664B7D">
        <w:rPr>
          <w:rFonts w:cstheme="minorHAnsi"/>
          <w:bCs/>
          <w:i/>
          <w:iCs/>
        </w:rPr>
        <w:t>Wytycznych kwalifikowalności</w:t>
      </w:r>
      <w:r w:rsidRPr="00664B7D">
        <w:rPr>
          <w:rFonts w:cstheme="minorHAnsi"/>
          <w:bCs/>
        </w:rPr>
        <w:t xml:space="preserve"> i obejmuje następujące koszty (wydatki z tego katalogu nie mogą zostać rozliczone w ramach kosztów bezpośrednich):</w:t>
      </w:r>
    </w:p>
    <w:p w14:paraId="4D7D451D"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59D156B4"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 xml:space="preserve">koszty zarządu (koszty wynagrodzenia osób uprawnionych do reprezentowania jednostki, których zakresy czynności nie są przypisane wyłącznie do projektu, np. kierownik jednostki), </w:t>
      </w:r>
    </w:p>
    <w:p w14:paraId="4EF82A2E"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koszty personelu obsługowego (obsługa kadrowa, finansowa, administracyjna, sekretariat, kancelaria, obsługa prawna, w tym ta dotycząca zamówień) na potrzeby funkcjonowania jednostki,</w:t>
      </w:r>
    </w:p>
    <w:p w14:paraId="21770B0B"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koszty obsługi księgowej (wynagrodzenia osób księgujących wydatki w projekcie, w tym zlecenia prowadzenia obsługi księgowej projektu biuru rachunkowemu),</w:t>
      </w:r>
    </w:p>
    <w:p w14:paraId="6EEF60C9"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 xml:space="preserve">koszty utrzymania powierzchni biurowych (czynsz, najem, opłaty administracyjne) związanych z obsługą administracyjną projektu, </w:t>
      </w:r>
    </w:p>
    <w:p w14:paraId="7060FD45"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wydatki związane z otworzeniem lub prowadzeniem wyodrębnionego na rzecz projektu subkonta na rachunku płatniczym lub odrębnego rachunku płatniczego,</w:t>
      </w:r>
    </w:p>
    <w:p w14:paraId="53E142D1"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 xml:space="preserve">działania informacyjno-promocyjne projektu (np. zakup materiałów promocyjnych i informacyjnych, zakup ogłoszeń prasowych, utworzenie i prowadzenie strony </w:t>
      </w:r>
      <w:r w:rsidRPr="00664B7D">
        <w:rPr>
          <w:rFonts w:cstheme="minorHAnsi"/>
          <w:bCs/>
        </w:rPr>
        <w:lastRenderedPageBreak/>
        <w:t>internetowej o projekcie, oznakowanie projektu, plakaty, ulotki, itp.), z wyłączeniem działań, o których mowa w art. 50 ust. 1 lit. E rozporządzenia ogólnego,</w:t>
      </w:r>
    </w:p>
    <w:p w14:paraId="03CD246C"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amortyzacja, najem lub zakup aktywów (środków trwałych i wartości niematerialnych i prawnych) używanych na potrzeby osób, o których mowa w lit. a - d,</w:t>
      </w:r>
    </w:p>
    <w:p w14:paraId="6FFAE433"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opłaty za energię elektryczną, cieplną, gazową i wodę, opłaty przesyłowe, opłaty za sprzątanie, ochronę, opłaty za odprowadzanie ścieków w zakresie związanym z obsługą administracyjną projektu,</w:t>
      </w:r>
    </w:p>
    <w:p w14:paraId="071175BC"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koszty usług pocztowych, telefonicznych, internetowych, kurierskich związanych z obsługą administracyjną projektu,</w:t>
      </w:r>
    </w:p>
    <w:p w14:paraId="43DE74DA"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koszty biurowe związane z obsługą administracyjną projektu (np. zakup materiałów biurowych i artykułów piśmienniczych, koszty usług powielania dokumentów),</w:t>
      </w:r>
    </w:p>
    <w:p w14:paraId="4835BAF1" w14:textId="77777777"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koszty zabezpieczenia prawidłowej realizacji umowy,</w:t>
      </w:r>
    </w:p>
    <w:p w14:paraId="6435C5CF" w14:textId="5D9FEB19" w:rsidR="005A5EDA" w:rsidRPr="00664B7D" w:rsidRDefault="005A5EDA" w:rsidP="00790DF9">
      <w:pPr>
        <w:numPr>
          <w:ilvl w:val="0"/>
          <w:numId w:val="14"/>
        </w:numPr>
        <w:spacing w:after="120"/>
        <w:ind w:left="426" w:hanging="426"/>
        <w:contextualSpacing/>
        <w:rPr>
          <w:rFonts w:cstheme="minorHAnsi"/>
          <w:bCs/>
        </w:rPr>
      </w:pPr>
      <w:r w:rsidRPr="00664B7D">
        <w:rPr>
          <w:rFonts w:cstheme="minorHAnsi"/>
          <w:bCs/>
        </w:rPr>
        <w:t>koszty ubezpieczeń majątkowych.</w:t>
      </w:r>
    </w:p>
    <w:p w14:paraId="5B0B03E9" w14:textId="77777777" w:rsidR="00CC6C3B" w:rsidRPr="00664B7D" w:rsidRDefault="00CC6C3B" w:rsidP="00790DF9">
      <w:pPr>
        <w:spacing w:after="120"/>
        <w:ind w:left="426" w:hanging="426"/>
        <w:contextualSpacing/>
        <w:rPr>
          <w:rFonts w:cstheme="minorHAnsi"/>
          <w:bCs/>
        </w:rPr>
      </w:pPr>
    </w:p>
    <w:p w14:paraId="7DF2713C" w14:textId="77777777" w:rsidR="005A5EDA" w:rsidRPr="00664B7D" w:rsidRDefault="005A5EDA" w:rsidP="001C3CAC">
      <w:pPr>
        <w:spacing w:after="120"/>
        <w:rPr>
          <w:rFonts w:cstheme="minorHAnsi"/>
          <w:bCs/>
        </w:rPr>
      </w:pPr>
      <w:r w:rsidRPr="00664B7D">
        <w:rPr>
          <w:rFonts w:cstheme="minorHAnsi"/>
          <w:bCs/>
        </w:rPr>
        <w:t>W ramach kosztów pośrednich nie są wykazywane wydatki objęte cross-</w:t>
      </w:r>
      <w:proofErr w:type="spellStart"/>
      <w:r w:rsidRPr="00664B7D">
        <w:rPr>
          <w:rFonts w:cstheme="minorHAnsi"/>
          <w:bCs/>
        </w:rPr>
        <w:t>financingiem</w:t>
      </w:r>
      <w:proofErr w:type="spellEnd"/>
      <w:r w:rsidRPr="00664B7D">
        <w:rPr>
          <w:rFonts w:cstheme="minorHAnsi"/>
          <w:bCs/>
        </w:rPr>
        <w:t>.</w:t>
      </w:r>
    </w:p>
    <w:p w14:paraId="58EEFF3C" w14:textId="77777777" w:rsidR="005A5EDA" w:rsidRPr="00664B7D" w:rsidRDefault="005A5EDA" w:rsidP="001C3CAC">
      <w:pPr>
        <w:spacing w:after="120"/>
        <w:rPr>
          <w:rFonts w:cstheme="minorHAnsi"/>
          <w:bCs/>
        </w:rPr>
      </w:pPr>
      <w:r w:rsidRPr="00664B7D">
        <w:rPr>
          <w:rFonts w:cstheme="minorHAnsi"/>
          <w:bCs/>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w:t>
      </w:r>
    </w:p>
    <w:p w14:paraId="63C28520" w14:textId="77777777" w:rsidR="005A5EDA" w:rsidRPr="00664B7D" w:rsidRDefault="005A5EDA" w:rsidP="001C3CAC">
      <w:pPr>
        <w:spacing w:after="0"/>
        <w:rPr>
          <w:rFonts w:cstheme="minorHAnsi"/>
          <w:bCs/>
        </w:rPr>
      </w:pPr>
      <w:r w:rsidRPr="00664B7D">
        <w:rPr>
          <w:rFonts w:cstheme="minorHAnsi"/>
          <w:bCs/>
        </w:rPr>
        <w:t xml:space="preserve">IZ </w:t>
      </w:r>
      <w:r w:rsidR="00396A2A" w:rsidRPr="00664B7D">
        <w:rPr>
          <w:rFonts w:cstheme="minorHAnsi"/>
          <w:bCs/>
        </w:rPr>
        <w:t xml:space="preserve">w trakcie realizacji projektu </w:t>
      </w:r>
      <w:r w:rsidRPr="00664B7D">
        <w:rPr>
          <w:rFonts w:cstheme="minorHAnsi"/>
          <w:bCs/>
        </w:rPr>
        <w:t xml:space="preserve">może obniżyć stawkę ryczałtową kosztów pośrednich </w:t>
      </w:r>
      <w:r w:rsidR="00F53A30" w:rsidRPr="00664B7D">
        <w:rPr>
          <w:rFonts w:cstheme="minorHAnsi"/>
          <w:bCs/>
        </w:rPr>
        <w:br/>
      </w:r>
      <w:r w:rsidRPr="00664B7D">
        <w:rPr>
          <w:rFonts w:cstheme="minorHAnsi"/>
          <w:bCs/>
        </w:rPr>
        <w:t xml:space="preserve">w przypadkach rażącego naruszenia przez Beneficjenta postanowień </w:t>
      </w:r>
      <w:r w:rsidR="00A77E4B" w:rsidRPr="00664B7D">
        <w:rPr>
          <w:rFonts w:cstheme="minorHAnsi"/>
          <w:bCs/>
        </w:rPr>
        <w:t>Zasad realizacji</w:t>
      </w:r>
      <w:r w:rsidRPr="00664B7D">
        <w:rPr>
          <w:rFonts w:cstheme="minorHAnsi"/>
          <w:bCs/>
        </w:rPr>
        <w:t xml:space="preserve"> projektu w zakresie zarządzania projektem.</w:t>
      </w:r>
    </w:p>
    <w:p w14:paraId="3879FEC8" w14:textId="77777777" w:rsidR="005A5EDA" w:rsidRPr="00664B7D" w:rsidRDefault="005A5EDA" w:rsidP="00624057">
      <w:pPr>
        <w:pStyle w:val="Podrozdzia-K"/>
      </w:pPr>
      <w:bookmarkStart w:id="47" w:name="_Toc134446816"/>
      <w:bookmarkStart w:id="48" w:name="_Toc145936731"/>
      <w:r w:rsidRPr="00664B7D">
        <w:t>Ocena kwalifikowalności wydatków, w tym wydatki niekwalifikowalne</w:t>
      </w:r>
      <w:bookmarkEnd w:id="47"/>
      <w:bookmarkEnd w:id="48"/>
      <w:r w:rsidR="006E0300" w:rsidRPr="00664B7D">
        <w:t xml:space="preserve"> </w:t>
      </w:r>
    </w:p>
    <w:p w14:paraId="3B30168C" w14:textId="77777777" w:rsidR="005A5EDA" w:rsidRPr="00664B7D" w:rsidRDefault="005A5EDA" w:rsidP="001C3CAC">
      <w:pPr>
        <w:spacing w:after="120"/>
        <w:rPr>
          <w:rFonts w:cstheme="minorHAnsi"/>
        </w:rPr>
      </w:pPr>
      <w:r w:rsidRPr="00664B7D">
        <w:rPr>
          <w:rFonts w:cstheme="minorHAnsi"/>
        </w:rPr>
        <w:t xml:space="preserve">Przyjęcie </w:t>
      </w:r>
      <w:r w:rsidR="00E93D20" w:rsidRPr="00664B7D">
        <w:rPr>
          <w:rFonts w:cstheme="minorHAnsi"/>
        </w:rPr>
        <w:t xml:space="preserve">danego projektu do realizacji </w:t>
      </w:r>
      <w:r w:rsidRPr="00664B7D">
        <w:rPr>
          <w:rFonts w:cstheme="minorHAnsi"/>
        </w:rPr>
        <w:t>nie oznacza, że wszystkie wydatki poniesione podczas jego realizacji i przedstawione we wniosku o płatność, zostaną uznane za kwalifikowalne</w:t>
      </w:r>
      <w:r w:rsidRPr="00664B7D">
        <w:rPr>
          <w:rFonts w:cstheme="minorHAnsi"/>
          <w:i/>
        </w:rPr>
        <w:t xml:space="preserve">. </w:t>
      </w:r>
      <w:r w:rsidRPr="00664B7D">
        <w:rPr>
          <w:rFonts w:cstheme="minorHAnsi"/>
        </w:rPr>
        <w:t xml:space="preserve">Pod pojęciem wydatku kwalifikowalnego należy rozumieć wydatek poniesiony w związku z realizacją projektu, który może zostać rozliczony zgodnie </w:t>
      </w:r>
      <w:r w:rsidR="00F53A30" w:rsidRPr="00664B7D">
        <w:rPr>
          <w:rFonts w:cstheme="minorHAnsi"/>
        </w:rPr>
        <w:br/>
      </w:r>
      <w:r w:rsidRPr="00664B7D">
        <w:rPr>
          <w:rFonts w:cstheme="minorHAnsi"/>
        </w:rPr>
        <w:t xml:space="preserve">z </w:t>
      </w:r>
      <w:r w:rsidR="0024183D" w:rsidRPr="00664B7D">
        <w:rPr>
          <w:rFonts w:cstheme="minorHAnsi"/>
        </w:rPr>
        <w:t>Zasadami realizacji projektu.</w:t>
      </w:r>
    </w:p>
    <w:p w14:paraId="3EDDD52C" w14:textId="1E9E9C6C" w:rsidR="005A5EDA" w:rsidRPr="00664B7D" w:rsidRDefault="005A5EDA" w:rsidP="00F816D9">
      <w:pPr>
        <w:spacing w:after="0"/>
        <w:rPr>
          <w:rFonts w:cstheme="minorHAnsi"/>
        </w:rPr>
      </w:pPr>
      <w:r w:rsidRPr="00664B7D">
        <w:rPr>
          <w:rFonts w:cstheme="minorHAnsi"/>
        </w:rPr>
        <w:t xml:space="preserve">Aby wydatek na etapie realizacji projektu mógł zostać uznany za kwalifikowalny, musi spełniać łącznie warunki określone w </w:t>
      </w:r>
      <w:r w:rsidRPr="00664B7D">
        <w:rPr>
          <w:rFonts w:cstheme="minorHAnsi"/>
          <w:i/>
        </w:rPr>
        <w:t xml:space="preserve">Wytycznych </w:t>
      </w:r>
      <w:r w:rsidR="00974E2C" w:rsidRPr="00664B7D">
        <w:rPr>
          <w:rFonts w:cstheme="minorHAnsi"/>
          <w:i/>
        </w:rPr>
        <w:t xml:space="preserve"> dot. </w:t>
      </w:r>
      <w:r w:rsidRPr="00664B7D">
        <w:rPr>
          <w:rFonts w:cstheme="minorHAnsi"/>
          <w:i/>
        </w:rPr>
        <w:t>kwalifikowalności</w:t>
      </w:r>
      <w:r w:rsidRPr="00664B7D">
        <w:rPr>
          <w:rFonts w:cstheme="minorHAnsi"/>
        </w:rPr>
        <w:t xml:space="preserve">, a więc </w:t>
      </w:r>
      <w:r w:rsidR="008D6571">
        <w:rPr>
          <w:rFonts w:cstheme="minorHAnsi"/>
        </w:rPr>
        <w:br/>
      </w:r>
      <w:r w:rsidRPr="00664B7D">
        <w:rPr>
          <w:rFonts w:cstheme="minorHAnsi"/>
        </w:rPr>
        <w:t>w szczególności:</w:t>
      </w:r>
    </w:p>
    <w:p w14:paraId="5F47CA6E" w14:textId="77777777" w:rsidR="005A5EDA" w:rsidRPr="00664B7D" w:rsidRDefault="005A5EDA" w:rsidP="00790DF9">
      <w:pPr>
        <w:numPr>
          <w:ilvl w:val="0"/>
          <w:numId w:val="16"/>
        </w:numPr>
        <w:spacing w:after="0"/>
        <w:ind w:left="426" w:hanging="426"/>
        <w:rPr>
          <w:rFonts w:cstheme="minorHAnsi"/>
        </w:rPr>
      </w:pPr>
      <w:r w:rsidRPr="00664B7D">
        <w:rPr>
          <w:rFonts w:cstheme="minorHAnsi"/>
        </w:rPr>
        <w:t>jest zgodny z przepisami prawa,</w:t>
      </w:r>
    </w:p>
    <w:p w14:paraId="602DC8CF" w14:textId="45E396CD" w:rsidR="005A5EDA" w:rsidRPr="00664B7D" w:rsidRDefault="005A5EDA" w:rsidP="00790DF9">
      <w:pPr>
        <w:numPr>
          <w:ilvl w:val="0"/>
          <w:numId w:val="16"/>
        </w:numPr>
        <w:spacing w:after="0"/>
        <w:ind w:left="426" w:hanging="426"/>
        <w:rPr>
          <w:rFonts w:cstheme="minorHAnsi"/>
        </w:rPr>
      </w:pPr>
      <w:r w:rsidRPr="00664B7D">
        <w:rPr>
          <w:rFonts w:cstheme="minorHAnsi"/>
        </w:rPr>
        <w:lastRenderedPageBreak/>
        <w:t xml:space="preserve">jest zgodny z </w:t>
      </w:r>
      <w:r w:rsidR="0024183D" w:rsidRPr="00664B7D">
        <w:rPr>
          <w:rFonts w:cstheme="minorHAnsi"/>
        </w:rPr>
        <w:t>Zasadami realizacji</w:t>
      </w:r>
      <w:r w:rsidRPr="00664B7D">
        <w:rPr>
          <w:rFonts w:cstheme="minorHAnsi"/>
        </w:rPr>
        <w:t xml:space="preserve"> projektu i Wytycznymi oraz innymi procedurami, </w:t>
      </w:r>
      <w:r w:rsidR="008D6571">
        <w:rPr>
          <w:rFonts w:cstheme="minorHAnsi"/>
        </w:rPr>
        <w:br/>
      </w:r>
      <w:r w:rsidRPr="00664B7D">
        <w:rPr>
          <w:rFonts w:cstheme="minorHAnsi"/>
        </w:rPr>
        <w:t xml:space="preserve">do stosowania których Beneficjent zobowiązał się w </w:t>
      </w:r>
      <w:r w:rsidR="0024183D" w:rsidRPr="00664B7D">
        <w:rPr>
          <w:rFonts w:cstheme="minorHAnsi"/>
        </w:rPr>
        <w:t>Zasadach realizacji</w:t>
      </w:r>
      <w:r w:rsidRPr="00664B7D">
        <w:rPr>
          <w:rFonts w:cstheme="minorHAnsi"/>
        </w:rPr>
        <w:t xml:space="preserve"> projektu,</w:t>
      </w:r>
    </w:p>
    <w:p w14:paraId="577D87C9" w14:textId="77777777" w:rsidR="005A5EDA" w:rsidRPr="00664B7D" w:rsidRDefault="005A5EDA" w:rsidP="00790DF9">
      <w:pPr>
        <w:numPr>
          <w:ilvl w:val="0"/>
          <w:numId w:val="16"/>
        </w:numPr>
        <w:spacing w:after="0"/>
        <w:ind w:left="426" w:hanging="426"/>
        <w:rPr>
          <w:rFonts w:cstheme="minorHAnsi"/>
        </w:rPr>
      </w:pPr>
      <w:r w:rsidRPr="00664B7D">
        <w:rPr>
          <w:rFonts w:cstheme="minorHAnsi"/>
        </w:rPr>
        <w:t xml:space="preserve">został faktycznie poniesiony zgodnie z zasadą określoną w podrozdziale 3.1 </w:t>
      </w:r>
      <w:r w:rsidRPr="00664B7D">
        <w:rPr>
          <w:rFonts w:cstheme="minorHAnsi"/>
          <w:i/>
        </w:rPr>
        <w:t>Wytyc</w:t>
      </w:r>
      <w:r w:rsidR="00E93D20" w:rsidRPr="00664B7D">
        <w:rPr>
          <w:rFonts w:cstheme="minorHAnsi"/>
          <w:i/>
        </w:rPr>
        <w:t>znych</w:t>
      </w:r>
      <w:r w:rsidRPr="00664B7D">
        <w:rPr>
          <w:rFonts w:cstheme="minorHAnsi"/>
          <w:i/>
        </w:rPr>
        <w:t xml:space="preserve"> kwalifikowalności wydatków</w:t>
      </w:r>
      <w:r w:rsidRPr="00664B7D">
        <w:rPr>
          <w:rFonts w:cstheme="minorHAnsi"/>
        </w:rPr>
        <w:t xml:space="preserve">, w okresie wskazanym w </w:t>
      </w:r>
      <w:r w:rsidR="0024183D" w:rsidRPr="00664B7D">
        <w:rPr>
          <w:rFonts w:cstheme="minorHAnsi"/>
        </w:rPr>
        <w:t xml:space="preserve">Zasadach realizacji </w:t>
      </w:r>
      <w:r w:rsidRPr="00664B7D">
        <w:rPr>
          <w:rFonts w:cstheme="minorHAnsi"/>
        </w:rPr>
        <w:t>projektu,</w:t>
      </w:r>
    </w:p>
    <w:p w14:paraId="05CF1B04" w14:textId="77777777" w:rsidR="005A5EDA" w:rsidRPr="00664B7D" w:rsidRDefault="005A5EDA" w:rsidP="00790DF9">
      <w:pPr>
        <w:numPr>
          <w:ilvl w:val="0"/>
          <w:numId w:val="16"/>
        </w:numPr>
        <w:spacing w:after="0"/>
        <w:ind w:left="426" w:hanging="426"/>
        <w:rPr>
          <w:rFonts w:cstheme="minorHAnsi"/>
        </w:rPr>
      </w:pPr>
      <w:r w:rsidRPr="00664B7D">
        <w:rPr>
          <w:rFonts w:cstheme="minorHAnsi"/>
        </w:rPr>
        <w:t>spełnia waru</w:t>
      </w:r>
      <w:r w:rsidR="00E93D20" w:rsidRPr="00664B7D">
        <w:rPr>
          <w:rFonts w:cstheme="minorHAnsi"/>
        </w:rPr>
        <w:t xml:space="preserve">nki określone w </w:t>
      </w:r>
      <w:proofErr w:type="spellStart"/>
      <w:r w:rsidR="00E93D20" w:rsidRPr="00664B7D">
        <w:rPr>
          <w:rFonts w:cstheme="minorHAnsi"/>
        </w:rPr>
        <w:t>FEWiM</w:t>
      </w:r>
      <w:proofErr w:type="spellEnd"/>
      <w:r w:rsidR="00E93D20" w:rsidRPr="00664B7D">
        <w:rPr>
          <w:rFonts w:cstheme="minorHAnsi"/>
        </w:rPr>
        <w:t xml:space="preserve"> </w:t>
      </w:r>
      <w:r w:rsidRPr="00664B7D">
        <w:rPr>
          <w:rFonts w:cstheme="minorHAnsi"/>
        </w:rPr>
        <w:t>i SZOP oraz Regulaminie wyboru projektów,</w:t>
      </w:r>
    </w:p>
    <w:p w14:paraId="754C18A1" w14:textId="77777777" w:rsidR="005A5EDA" w:rsidRPr="00664B7D" w:rsidRDefault="005A5EDA" w:rsidP="00790DF9">
      <w:pPr>
        <w:numPr>
          <w:ilvl w:val="0"/>
          <w:numId w:val="16"/>
        </w:numPr>
        <w:spacing w:after="0"/>
        <w:ind w:left="426" w:hanging="426"/>
        <w:rPr>
          <w:rFonts w:cstheme="minorHAnsi"/>
        </w:rPr>
      </w:pPr>
      <w:r w:rsidRPr="00664B7D">
        <w:rPr>
          <w:rFonts w:cstheme="minorHAnsi"/>
        </w:rPr>
        <w:t>jest niezbędny do realizacji celów projektu i został poniesiony w związku z realizacją projektu,</w:t>
      </w:r>
    </w:p>
    <w:p w14:paraId="0359D0D4" w14:textId="77777777" w:rsidR="005A5EDA" w:rsidRPr="00664B7D" w:rsidRDefault="005A5EDA" w:rsidP="00790DF9">
      <w:pPr>
        <w:numPr>
          <w:ilvl w:val="0"/>
          <w:numId w:val="16"/>
        </w:numPr>
        <w:spacing w:after="0"/>
        <w:ind w:left="426" w:hanging="426"/>
        <w:rPr>
          <w:rFonts w:cstheme="minorHAnsi"/>
        </w:rPr>
      </w:pPr>
      <w:r w:rsidRPr="00664B7D">
        <w:rPr>
          <w:rFonts w:cstheme="minorHAnsi"/>
        </w:rPr>
        <w:t>został dokonany w sposób przejrzysty, racjonalny i efektywny, z zachowaniem zasad uzyskiwania najlepszych efektów z danych nakładów,</w:t>
      </w:r>
    </w:p>
    <w:p w14:paraId="27ACFDB4" w14:textId="77777777" w:rsidR="005A5EDA" w:rsidRPr="00664B7D" w:rsidRDefault="005A5EDA" w:rsidP="00790DF9">
      <w:pPr>
        <w:numPr>
          <w:ilvl w:val="0"/>
          <w:numId w:val="16"/>
        </w:numPr>
        <w:spacing w:after="0"/>
        <w:ind w:left="426" w:hanging="426"/>
        <w:rPr>
          <w:rFonts w:cstheme="minorHAnsi"/>
        </w:rPr>
      </w:pPr>
      <w:r w:rsidRPr="00664B7D">
        <w:rPr>
          <w:rFonts w:cstheme="minorHAnsi"/>
        </w:rPr>
        <w:t>został należycie udokumentowany,</w:t>
      </w:r>
    </w:p>
    <w:p w14:paraId="328DAE12" w14:textId="77777777" w:rsidR="005A5EDA" w:rsidRPr="00664B7D" w:rsidRDefault="005A5EDA" w:rsidP="00790DF9">
      <w:pPr>
        <w:numPr>
          <w:ilvl w:val="0"/>
          <w:numId w:val="16"/>
        </w:numPr>
        <w:spacing w:after="0"/>
        <w:ind w:left="426" w:hanging="426"/>
        <w:rPr>
          <w:rFonts w:cstheme="minorHAnsi"/>
        </w:rPr>
      </w:pPr>
      <w:r w:rsidRPr="00664B7D">
        <w:rPr>
          <w:rFonts w:cstheme="minorHAnsi"/>
        </w:rPr>
        <w:t>został rozliczony we wniosku Beneficjenta o płatność,</w:t>
      </w:r>
    </w:p>
    <w:p w14:paraId="005BAD8D" w14:textId="77777777" w:rsidR="005A5EDA" w:rsidRPr="00664B7D" w:rsidRDefault="005A5EDA" w:rsidP="00790DF9">
      <w:pPr>
        <w:numPr>
          <w:ilvl w:val="0"/>
          <w:numId w:val="16"/>
        </w:numPr>
        <w:spacing w:after="0"/>
        <w:ind w:left="426" w:hanging="426"/>
        <w:rPr>
          <w:rFonts w:cstheme="minorHAnsi"/>
        </w:rPr>
      </w:pPr>
      <w:r w:rsidRPr="00664B7D">
        <w:rPr>
          <w:rFonts w:cstheme="minorHAnsi"/>
        </w:rPr>
        <w:t>dotyczy towarów dostarczonych lub usług wykonanych lub robót zrealizowanych, w tym zaliczek dla wykonawców.</w:t>
      </w:r>
    </w:p>
    <w:p w14:paraId="581DB8DD" w14:textId="77777777" w:rsidR="005A5EDA" w:rsidRPr="00664B7D" w:rsidRDefault="005A5EDA" w:rsidP="00F816D9">
      <w:pPr>
        <w:spacing w:after="0"/>
        <w:rPr>
          <w:rFonts w:cstheme="minorHAnsi"/>
        </w:rPr>
      </w:pPr>
    </w:p>
    <w:p w14:paraId="0749CA6F" w14:textId="77777777" w:rsidR="005A5EDA" w:rsidRPr="00664B7D" w:rsidRDefault="005A5EDA" w:rsidP="00F816D9">
      <w:pPr>
        <w:spacing w:after="0"/>
        <w:rPr>
          <w:rFonts w:cstheme="minorHAnsi"/>
        </w:rPr>
      </w:pPr>
      <w:r w:rsidRPr="00664B7D">
        <w:rPr>
          <w:rFonts w:cstheme="minorHAnsi"/>
        </w:rPr>
        <w:t>Kwalifikowalność wydatków, a w szczególności ich racjonalność i niezbędność jest weryfikowana:</w:t>
      </w:r>
    </w:p>
    <w:p w14:paraId="34E7C583" w14:textId="77777777" w:rsidR="005A5EDA" w:rsidRPr="00664B7D" w:rsidRDefault="005A5EDA" w:rsidP="00790DF9">
      <w:pPr>
        <w:numPr>
          <w:ilvl w:val="0"/>
          <w:numId w:val="15"/>
        </w:numPr>
        <w:spacing w:after="0"/>
        <w:ind w:left="426" w:hanging="426"/>
        <w:rPr>
          <w:rFonts w:cstheme="minorHAnsi"/>
        </w:rPr>
      </w:pPr>
      <w:r w:rsidRPr="00664B7D">
        <w:rPr>
          <w:rFonts w:cstheme="minorHAnsi"/>
        </w:rPr>
        <w:t>na etapie oceny wniosku o dofinansowanie projektu w ramach KOP,</w:t>
      </w:r>
    </w:p>
    <w:p w14:paraId="3A910D7B" w14:textId="77777777" w:rsidR="005A5EDA" w:rsidRPr="00664B7D" w:rsidRDefault="005A5EDA" w:rsidP="00790DF9">
      <w:pPr>
        <w:numPr>
          <w:ilvl w:val="0"/>
          <w:numId w:val="15"/>
        </w:numPr>
        <w:spacing w:after="0"/>
        <w:ind w:left="426" w:hanging="426"/>
        <w:rPr>
          <w:rFonts w:cstheme="minorHAnsi"/>
        </w:rPr>
      </w:pPr>
      <w:r w:rsidRPr="00664B7D">
        <w:rPr>
          <w:rFonts w:cstheme="minorHAnsi"/>
        </w:rPr>
        <w:t>w trakcie realizacji projektu poprzez weryfikację wniosków o płatność,</w:t>
      </w:r>
    </w:p>
    <w:p w14:paraId="69BEE7D2" w14:textId="77777777" w:rsidR="005A5EDA" w:rsidRPr="00664B7D" w:rsidRDefault="005A5EDA" w:rsidP="00790DF9">
      <w:pPr>
        <w:numPr>
          <w:ilvl w:val="0"/>
          <w:numId w:val="15"/>
        </w:numPr>
        <w:spacing w:after="0"/>
        <w:ind w:left="426" w:hanging="426"/>
        <w:rPr>
          <w:rFonts w:cstheme="minorHAnsi"/>
        </w:rPr>
      </w:pPr>
      <w:r w:rsidRPr="00664B7D">
        <w:rPr>
          <w:rFonts w:cstheme="minorHAnsi"/>
        </w:rPr>
        <w:t>w trakcie kontroli projektu (w miejscu realizacji projektu lub siedzibie Beneficjenta),</w:t>
      </w:r>
    </w:p>
    <w:p w14:paraId="5BD04FB5" w14:textId="77777777" w:rsidR="005A5EDA" w:rsidRPr="00664B7D" w:rsidRDefault="005A5EDA" w:rsidP="00790DF9">
      <w:pPr>
        <w:numPr>
          <w:ilvl w:val="0"/>
          <w:numId w:val="15"/>
        </w:numPr>
        <w:spacing w:after="0"/>
        <w:ind w:left="426" w:hanging="426"/>
        <w:rPr>
          <w:rFonts w:cstheme="minorHAnsi"/>
        </w:rPr>
      </w:pPr>
      <w:r w:rsidRPr="00664B7D">
        <w:rPr>
          <w:rFonts w:cstheme="minorHAnsi"/>
        </w:rPr>
        <w:t xml:space="preserve">po zakończeniu realizacji projektu, zgodnie z postanowieniami </w:t>
      </w:r>
      <w:r w:rsidR="004F03B6" w:rsidRPr="00664B7D">
        <w:rPr>
          <w:rFonts w:cstheme="minorHAnsi"/>
        </w:rPr>
        <w:t xml:space="preserve">Zasad realizacji projektu </w:t>
      </w:r>
      <w:proofErr w:type="spellStart"/>
      <w:r w:rsidRPr="00664B7D">
        <w:rPr>
          <w:rFonts w:cstheme="minorHAnsi"/>
        </w:rPr>
        <w:t>projektu</w:t>
      </w:r>
      <w:proofErr w:type="spellEnd"/>
      <w:r w:rsidRPr="00664B7D">
        <w:rPr>
          <w:rFonts w:cstheme="minorHAnsi"/>
        </w:rPr>
        <w:t xml:space="preserve"> i obowiązującymi przepisami.</w:t>
      </w:r>
    </w:p>
    <w:p w14:paraId="618ECC96" w14:textId="77777777" w:rsidR="005A5EDA" w:rsidRPr="00664B7D" w:rsidRDefault="00974E2C" w:rsidP="00F816D9">
      <w:pPr>
        <w:spacing w:after="0"/>
        <w:rPr>
          <w:rFonts w:cstheme="minorHAnsi"/>
        </w:rPr>
      </w:pPr>
      <w:r w:rsidRPr="00664B7D">
        <w:rPr>
          <w:rFonts w:cstheme="minorHAnsi"/>
        </w:rPr>
        <w:t xml:space="preserve">Ponadto </w:t>
      </w:r>
      <w:r w:rsidR="005A5EDA" w:rsidRPr="00664B7D">
        <w:rPr>
          <w:rFonts w:cstheme="minorHAnsi"/>
        </w:rPr>
        <w:t xml:space="preserve"> zatwierdzenie kwalifikowalności wydatków w projekcie następuje po weryfikacji osiągnięcia wskaźników produktu oraz rezultatu a także celów projektu zatwierdzonych we wniosku o dofinansowanie projektu.</w:t>
      </w:r>
    </w:p>
    <w:p w14:paraId="3E4B7DAB" w14:textId="77777777" w:rsidR="005A5EDA" w:rsidRPr="00664B7D" w:rsidRDefault="005A5EDA" w:rsidP="001C3CAC">
      <w:pPr>
        <w:spacing w:after="120"/>
        <w:rPr>
          <w:rFonts w:cstheme="minorHAnsi"/>
        </w:rPr>
      </w:pPr>
      <w:r w:rsidRPr="00664B7D">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664B7D">
        <w:rPr>
          <w:rFonts w:cstheme="minorHAnsi"/>
          <w:b/>
        </w:rPr>
        <w:t>może oznaczać nieprawidłowość oraz skutkować nałożeniem korekty finansowej</w:t>
      </w:r>
      <w:r w:rsidRPr="00664B7D">
        <w:rPr>
          <w:rFonts w:cstheme="minorHAnsi"/>
        </w:rPr>
        <w:t xml:space="preserve">. </w:t>
      </w:r>
    </w:p>
    <w:p w14:paraId="7120E787" w14:textId="77777777" w:rsidR="005A5EDA" w:rsidRPr="00664B7D" w:rsidRDefault="005A5EDA" w:rsidP="001C3CAC">
      <w:pPr>
        <w:spacing w:after="120"/>
        <w:rPr>
          <w:rFonts w:cstheme="minorHAnsi"/>
        </w:rPr>
      </w:pPr>
      <w:r w:rsidRPr="00664B7D">
        <w:rPr>
          <w:rFonts w:cstheme="minorHAnsi"/>
        </w:rPr>
        <w:t>W ramach oceny kwalifikowalności wydatków Instytucja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165F2127" w14:textId="77777777" w:rsidR="005A5EDA" w:rsidRPr="00664B7D" w:rsidRDefault="005A5EDA" w:rsidP="001C3CAC">
      <w:pPr>
        <w:spacing w:after="120"/>
        <w:rPr>
          <w:rFonts w:cstheme="minorHAnsi"/>
        </w:rPr>
      </w:pPr>
      <w:r w:rsidRPr="00664B7D">
        <w:rPr>
          <w:rFonts w:cstheme="minorHAnsi"/>
        </w:rPr>
        <w:t>Właściw</w:t>
      </w:r>
      <w:r w:rsidR="004F03B6" w:rsidRPr="00664B7D">
        <w:rPr>
          <w:rFonts w:cstheme="minorHAnsi"/>
        </w:rPr>
        <w:t>a instytucja będąca stroną Zasad realizacji projektu</w:t>
      </w:r>
      <w:r w:rsidRPr="00664B7D">
        <w:rPr>
          <w:rFonts w:cstheme="minorHAnsi"/>
        </w:rPr>
        <w:t xml:space="preserve"> może podjąć decyzję </w:t>
      </w:r>
      <w:r w:rsidR="00F53A30" w:rsidRPr="00664B7D">
        <w:rPr>
          <w:rFonts w:cstheme="minorHAnsi"/>
        </w:rPr>
        <w:br/>
      </w:r>
      <w:r w:rsidRPr="00664B7D">
        <w:rPr>
          <w:rFonts w:cstheme="minorHAnsi"/>
        </w:rPr>
        <w:t>o odstąpieniu od rozliczenia projektu zgodnie z regułą proporcjonalności w przypadku:</w:t>
      </w:r>
    </w:p>
    <w:p w14:paraId="5A87996D" w14:textId="77777777" w:rsidR="005A5EDA" w:rsidRPr="00664B7D" w:rsidRDefault="005A5EDA" w:rsidP="001C3CAC">
      <w:pPr>
        <w:spacing w:after="120"/>
        <w:rPr>
          <w:rFonts w:cstheme="minorHAnsi"/>
        </w:rPr>
      </w:pPr>
      <w:r w:rsidRPr="00664B7D">
        <w:rPr>
          <w:rFonts w:cstheme="minorHAnsi"/>
        </w:rPr>
        <w:lastRenderedPageBreak/>
        <w:t>a) wystąpienia siły wyższej,</w:t>
      </w:r>
    </w:p>
    <w:p w14:paraId="1F15D6A6" w14:textId="77777777" w:rsidR="005A5EDA" w:rsidRPr="00664B7D" w:rsidRDefault="005A5EDA" w:rsidP="001C3CAC">
      <w:pPr>
        <w:spacing w:after="120"/>
        <w:ind w:left="142" w:hanging="142"/>
        <w:rPr>
          <w:rFonts w:cstheme="minorHAnsi"/>
        </w:rPr>
      </w:pPr>
      <w:r w:rsidRPr="00664B7D">
        <w:rPr>
          <w:rFonts w:cstheme="minorHAnsi"/>
        </w:rPr>
        <w:t>b) jeśli Beneficjent o to wnioskuje i należycie uzasadni przyczyny nieosiągnięcia założeń, w szczególności wykaże swoje starania zmierzające do osiągnięcia założeń projektu.</w:t>
      </w:r>
    </w:p>
    <w:p w14:paraId="23D84EEF" w14:textId="77777777" w:rsidR="005A5EDA" w:rsidRPr="00664B7D" w:rsidRDefault="005A5EDA" w:rsidP="001C3CAC">
      <w:pPr>
        <w:pStyle w:val="Nagwek-K"/>
      </w:pPr>
      <w:r w:rsidRPr="008D6571">
        <w:t>Wydatki niekwalifikowalne</w:t>
      </w:r>
    </w:p>
    <w:p w14:paraId="6B6CB2E8" w14:textId="77777777" w:rsidR="0049425B" w:rsidRPr="00664B7D" w:rsidRDefault="0049425B" w:rsidP="00F15960">
      <w:pPr>
        <w:numPr>
          <w:ilvl w:val="0"/>
          <w:numId w:val="40"/>
        </w:numPr>
        <w:spacing w:after="0"/>
        <w:ind w:left="426" w:hanging="426"/>
        <w:rPr>
          <w:rFonts w:cstheme="minorHAnsi"/>
        </w:rPr>
      </w:pPr>
      <w:r w:rsidRPr="00664B7D">
        <w:rPr>
          <w:rFonts w:cstheme="minorHAnsi"/>
        </w:rPr>
        <w:t xml:space="preserve">Wydatkami niekwalifikowalnymi są wydatki wskazane w art. 64 rozporządzenia </w:t>
      </w:r>
      <w:r w:rsidRPr="00664B7D">
        <w:rPr>
          <w:rFonts w:cstheme="minorHAnsi"/>
        </w:rPr>
        <w:br/>
        <w:t>ogólnego, art. 7 ust. 1 i 5 rozporządzenia EFRR i FS, art. 16 ust. 1 rozporządzenia EFS+, art. 9 rozporządzenia FST oraz:</w:t>
      </w:r>
    </w:p>
    <w:p w14:paraId="44186651" w14:textId="77777777" w:rsidR="0049425B" w:rsidRPr="00664B7D" w:rsidRDefault="0049425B" w:rsidP="008327E9">
      <w:pPr>
        <w:numPr>
          <w:ilvl w:val="0"/>
          <w:numId w:val="17"/>
        </w:numPr>
        <w:spacing w:after="0"/>
        <w:ind w:left="426" w:hanging="426"/>
        <w:rPr>
          <w:rFonts w:cstheme="minorHAnsi"/>
        </w:rPr>
      </w:pPr>
      <w:r w:rsidRPr="00664B7D">
        <w:rPr>
          <w:rFonts w:cstheme="minorHAnsi"/>
        </w:rPr>
        <w:t>kary i grzywny,</w:t>
      </w:r>
    </w:p>
    <w:p w14:paraId="771A0AF6" w14:textId="77777777" w:rsidR="0049425B" w:rsidRPr="00664B7D" w:rsidRDefault="0049425B" w:rsidP="008327E9">
      <w:pPr>
        <w:numPr>
          <w:ilvl w:val="0"/>
          <w:numId w:val="17"/>
        </w:numPr>
        <w:spacing w:after="0"/>
        <w:ind w:left="426" w:hanging="426"/>
        <w:rPr>
          <w:rFonts w:cstheme="minorHAnsi"/>
        </w:rPr>
      </w:pPr>
      <w:r w:rsidRPr="00664B7D">
        <w:rPr>
          <w:rFonts w:cstheme="minorHAnsi"/>
        </w:rPr>
        <w:t>koszty postępowania sądowego, wydatki związane z przygotowaniem i obsługą prawną spraw sądowych oraz wydatki poniesione na funkcjonowanie komisji rozjemczych,</w:t>
      </w:r>
    </w:p>
    <w:p w14:paraId="3D2381E5" w14:textId="77777777" w:rsidR="0049425B" w:rsidRPr="00664B7D" w:rsidRDefault="0049425B" w:rsidP="008327E9">
      <w:pPr>
        <w:numPr>
          <w:ilvl w:val="0"/>
          <w:numId w:val="17"/>
        </w:numPr>
        <w:spacing w:after="0"/>
        <w:ind w:left="426" w:hanging="426"/>
        <w:rPr>
          <w:rFonts w:cstheme="minorHAnsi"/>
        </w:rPr>
      </w:pPr>
      <w:r w:rsidRPr="00664B7D">
        <w:rPr>
          <w:rFonts w:cstheme="minorHAnsi"/>
        </w:rPr>
        <w:t>koszty pożyczki lub kredytu zaciągniętego na prefinansowanie dotacji,</w:t>
      </w:r>
    </w:p>
    <w:p w14:paraId="163AF1DB" w14:textId="77777777" w:rsidR="0049425B" w:rsidRPr="00664B7D" w:rsidRDefault="0049425B" w:rsidP="008327E9">
      <w:pPr>
        <w:numPr>
          <w:ilvl w:val="0"/>
          <w:numId w:val="17"/>
        </w:numPr>
        <w:spacing w:after="0"/>
        <w:ind w:left="426" w:hanging="426"/>
        <w:rPr>
          <w:rFonts w:cstheme="minorHAnsi"/>
        </w:rPr>
      </w:pPr>
      <w:r w:rsidRPr="00664B7D">
        <w:rPr>
          <w:rFonts w:cstheme="minorHAnsi"/>
        </w:rPr>
        <w:t>prowizje pobierane w ramach operacji wymiany walut,</w:t>
      </w:r>
    </w:p>
    <w:p w14:paraId="6E5D12DB" w14:textId="77777777" w:rsidR="0049425B" w:rsidRPr="00664B7D" w:rsidRDefault="0049425B" w:rsidP="008327E9">
      <w:pPr>
        <w:numPr>
          <w:ilvl w:val="0"/>
          <w:numId w:val="17"/>
        </w:numPr>
        <w:spacing w:after="0"/>
        <w:ind w:left="426" w:hanging="426"/>
        <w:rPr>
          <w:rFonts w:cstheme="minorHAnsi"/>
        </w:rPr>
      </w:pPr>
      <w:r w:rsidRPr="00664B7D">
        <w:rPr>
          <w:rFonts w:cstheme="minorHAnsi"/>
        </w:rPr>
        <w:t>rozliczony notą księgową koszt zakupu środka trwałego będącego własnością Beneficjenta lub prawa przysługującego Beneficjentowi (taki środek trwały może zostać wniesiony do projektu w formie wkładu niepieniężnego),</w:t>
      </w:r>
    </w:p>
    <w:p w14:paraId="03A95386" w14:textId="77777777" w:rsidR="0049425B" w:rsidRPr="00664B7D" w:rsidRDefault="0049425B" w:rsidP="008327E9">
      <w:pPr>
        <w:numPr>
          <w:ilvl w:val="0"/>
          <w:numId w:val="17"/>
        </w:numPr>
        <w:spacing w:after="0"/>
        <w:ind w:left="426" w:hanging="426"/>
        <w:rPr>
          <w:rFonts w:cstheme="minorHAnsi"/>
        </w:rPr>
      </w:pPr>
      <w:r w:rsidRPr="00664B7D">
        <w:rPr>
          <w:rFonts w:cstheme="minorHAnsi"/>
        </w:rPr>
        <w:t>nagrody jubileuszowe przeznaczone dla personelu projektu,</w:t>
      </w:r>
    </w:p>
    <w:p w14:paraId="11F5E7D1" w14:textId="77777777" w:rsidR="0049425B" w:rsidRPr="00664B7D" w:rsidRDefault="0049425B" w:rsidP="008327E9">
      <w:pPr>
        <w:numPr>
          <w:ilvl w:val="0"/>
          <w:numId w:val="17"/>
        </w:numPr>
        <w:spacing w:after="0"/>
        <w:ind w:left="426" w:hanging="426"/>
        <w:rPr>
          <w:rFonts w:cstheme="minorHAnsi"/>
        </w:rPr>
      </w:pPr>
      <w:r w:rsidRPr="00664B7D">
        <w:rPr>
          <w:rFonts w:cstheme="minorHAnsi"/>
        </w:rPr>
        <w:t>odprawy pracownicze przeznaczone dla personelu projektu,</w:t>
      </w:r>
    </w:p>
    <w:p w14:paraId="21CAEFE1" w14:textId="77777777" w:rsidR="0049425B" w:rsidRPr="00664B7D" w:rsidRDefault="0049425B" w:rsidP="008327E9">
      <w:pPr>
        <w:numPr>
          <w:ilvl w:val="0"/>
          <w:numId w:val="17"/>
        </w:numPr>
        <w:spacing w:after="0"/>
        <w:ind w:left="426" w:hanging="426"/>
        <w:rPr>
          <w:rFonts w:cstheme="minorHAnsi"/>
        </w:rPr>
      </w:pPr>
      <w:r w:rsidRPr="00664B7D">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01615200" w14:textId="77777777" w:rsidR="0049425B" w:rsidRPr="00664B7D" w:rsidRDefault="0049425B" w:rsidP="008327E9">
      <w:pPr>
        <w:numPr>
          <w:ilvl w:val="0"/>
          <w:numId w:val="17"/>
        </w:numPr>
        <w:spacing w:after="0"/>
        <w:ind w:left="426" w:hanging="426"/>
        <w:rPr>
          <w:rFonts w:cstheme="minorHAnsi"/>
        </w:rPr>
      </w:pPr>
      <w:r w:rsidRPr="00664B7D">
        <w:rPr>
          <w:rFonts w:cstheme="minorHAnsi"/>
        </w:rPr>
        <w:t>świadczenia na rzecz personelu projektu realizowane z Zakładowego Funduszu Świadczeń Socjalnych (ZFŚS),</w:t>
      </w:r>
    </w:p>
    <w:p w14:paraId="0D937384" w14:textId="77777777" w:rsidR="0049425B" w:rsidRPr="00664B7D" w:rsidRDefault="0049425B" w:rsidP="008327E9">
      <w:pPr>
        <w:numPr>
          <w:ilvl w:val="0"/>
          <w:numId w:val="17"/>
        </w:numPr>
        <w:spacing w:after="0"/>
        <w:ind w:left="426" w:hanging="426"/>
        <w:rPr>
          <w:rFonts w:cstheme="minorHAnsi"/>
        </w:rPr>
      </w:pPr>
      <w:r w:rsidRPr="00664B7D">
        <w:rPr>
          <w:rFonts w:cstheme="minorHAnsi"/>
        </w:rPr>
        <w:t>koszty ubezpieczenia cywilnego funkcjonariuszy publicznych za szkodę wyrządzoną przy wykonywaniu władzy publicznej,</w:t>
      </w:r>
    </w:p>
    <w:p w14:paraId="6CC33431" w14:textId="77777777" w:rsidR="0049425B" w:rsidRPr="00664B7D" w:rsidRDefault="0049425B" w:rsidP="008327E9">
      <w:pPr>
        <w:numPr>
          <w:ilvl w:val="0"/>
          <w:numId w:val="17"/>
        </w:numPr>
        <w:spacing w:after="0"/>
        <w:ind w:left="426" w:hanging="426"/>
        <w:rPr>
          <w:rFonts w:cstheme="minorHAnsi"/>
        </w:rPr>
      </w:pPr>
      <w:r w:rsidRPr="00664B7D">
        <w:rPr>
          <w:rFonts w:cstheme="minorHAnsi"/>
        </w:rPr>
        <w:t>koszty składek i opłat fakultatywnych na rzecz personelu projektu, niewymaganych obowiązującymi przepisami prawa, chyba że:</w:t>
      </w:r>
    </w:p>
    <w:p w14:paraId="17B62BB5" w14:textId="154E2D9C" w:rsidR="0049425B" w:rsidRPr="00664B7D" w:rsidRDefault="00864967" w:rsidP="008327E9">
      <w:pPr>
        <w:numPr>
          <w:ilvl w:val="0"/>
          <w:numId w:val="18"/>
        </w:numPr>
        <w:spacing w:after="0"/>
        <w:ind w:left="851" w:hanging="425"/>
        <w:rPr>
          <w:rFonts w:cstheme="minorHAnsi"/>
        </w:rPr>
      </w:pPr>
      <w:r w:rsidRPr="00664B7D">
        <w:rPr>
          <w:rFonts w:cstheme="minorHAnsi"/>
        </w:rPr>
        <w:t>zostały przewidziane w r</w:t>
      </w:r>
      <w:r w:rsidR="0049425B" w:rsidRPr="00664B7D">
        <w:rPr>
          <w:rFonts w:cstheme="minorHAnsi"/>
        </w:rPr>
        <w:t>egulaminie pracy lub regulaminie wynagradzania lub innych właściwych przepisach prawa pracy,</w:t>
      </w:r>
    </w:p>
    <w:p w14:paraId="42B79033" w14:textId="77777777" w:rsidR="0049425B" w:rsidRPr="00664B7D" w:rsidRDefault="0049425B" w:rsidP="008327E9">
      <w:pPr>
        <w:numPr>
          <w:ilvl w:val="0"/>
          <w:numId w:val="18"/>
        </w:numPr>
        <w:spacing w:after="0"/>
        <w:ind w:left="851" w:hanging="425"/>
        <w:rPr>
          <w:rFonts w:cstheme="minorHAnsi"/>
        </w:rPr>
      </w:pPr>
      <w:r w:rsidRPr="00664B7D">
        <w:rPr>
          <w:rFonts w:cstheme="minorHAnsi"/>
        </w:rPr>
        <w:t>zostały wprowadzone co najmniej sześć miesięcy przed złożeniem wniosku o dofinansowanie projektu,</w:t>
      </w:r>
    </w:p>
    <w:p w14:paraId="1723DF61" w14:textId="77777777" w:rsidR="0049425B" w:rsidRPr="00664B7D" w:rsidRDefault="0049425B" w:rsidP="008327E9">
      <w:pPr>
        <w:numPr>
          <w:ilvl w:val="0"/>
          <w:numId w:val="18"/>
        </w:numPr>
        <w:spacing w:after="0"/>
        <w:ind w:left="851" w:hanging="425"/>
        <w:rPr>
          <w:rFonts w:cstheme="minorHAnsi"/>
        </w:rPr>
      </w:pPr>
      <w:r w:rsidRPr="00664B7D">
        <w:rPr>
          <w:rFonts w:cstheme="minorHAnsi"/>
        </w:rPr>
        <w:t>potencjalnie obejmują wszystkich pracowników, a zasady ich przyznawania są takie same w przypadku personelu projektu oraz pozostałych pracowników Beneficjenta,</w:t>
      </w:r>
    </w:p>
    <w:p w14:paraId="563D4076" w14:textId="77777777" w:rsidR="0049425B" w:rsidRPr="00664B7D" w:rsidRDefault="0049425B" w:rsidP="008327E9">
      <w:pPr>
        <w:numPr>
          <w:ilvl w:val="0"/>
          <w:numId w:val="17"/>
        </w:numPr>
        <w:spacing w:after="120"/>
        <w:ind w:left="426" w:hanging="426"/>
        <w:rPr>
          <w:rFonts w:cstheme="minorHAnsi"/>
        </w:rPr>
      </w:pPr>
      <w:r w:rsidRPr="00664B7D">
        <w:rPr>
          <w:rFonts w:cstheme="minorHAnsi"/>
        </w:rPr>
        <w:t xml:space="preserve">koszt zaangażowania personelu projektu zatrudnionego jednocześnie na podstawie stosunku pracy w IZ, IP, IW, gdy zachodzi konflikt interesów rozumiany jako naruszenie zasady bezinteresowności i bezstronności poprzez w szczególności wykonywanie zadań </w:t>
      </w:r>
      <w:r w:rsidRPr="00664B7D">
        <w:rPr>
          <w:rFonts w:cstheme="minorHAnsi"/>
        </w:rPr>
        <w:lastRenderedPageBreak/>
        <w:t>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06DEDFDD" w14:textId="77777777" w:rsidR="0049425B" w:rsidRPr="00664B7D" w:rsidRDefault="0049425B" w:rsidP="008327E9">
      <w:pPr>
        <w:numPr>
          <w:ilvl w:val="0"/>
          <w:numId w:val="17"/>
        </w:numPr>
        <w:spacing w:after="0"/>
        <w:ind w:left="426" w:hanging="426"/>
        <w:rPr>
          <w:rFonts w:cstheme="minorHAnsi"/>
        </w:rPr>
      </w:pPr>
      <w:r w:rsidRPr="00664B7D">
        <w:rPr>
          <w:rFonts w:cstheme="minorHAnsi"/>
        </w:rPr>
        <w:t>koszt zaangażowania pracownika Beneficjenta na podstawie umowy cywilnoprawnej innej niż umowa o dzieło, z wyjątkiem:</w:t>
      </w:r>
    </w:p>
    <w:p w14:paraId="2F3ED177" w14:textId="77777777" w:rsidR="0049425B" w:rsidRPr="00664B7D" w:rsidRDefault="0049425B" w:rsidP="008327E9">
      <w:pPr>
        <w:numPr>
          <w:ilvl w:val="0"/>
          <w:numId w:val="20"/>
        </w:numPr>
        <w:spacing w:after="0"/>
        <w:ind w:left="851" w:hanging="425"/>
        <w:rPr>
          <w:rFonts w:cstheme="minorHAnsi"/>
        </w:rPr>
      </w:pPr>
      <w:r w:rsidRPr="00664B7D">
        <w:rPr>
          <w:rFonts w:cstheme="minorHAnsi"/>
        </w:rPr>
        <w:t>przypadków, gdy szczególne przepisy dotyczące zatrudniania danej grupy pracowników uniemożliwiają wykonywanie zadań w ramach projektu na podstawie stosunku pracy,</w:t>
      </w:r>
    </w:p>
    <w:p w14:paraId="17F69434" w14:textId="77777777" w:rsidR="0049425B" w:rsidRPr="00664B7D" w:rsidRDefault="0049425B" w:rsidP="008327E9">
      <w:pPr>
        <w:numPr>
          <w:ilvl w:val="0"/>
          <w:numId w:val="20"/>
        </w:numPr>
        <w:spacing w:after="0"/>
        <w:ind w:left="851" w:hanging="425"/>
        <w:rPr>
          <w:rFonts w:cstheme="minorHAnsi"/>
        </w:rPr>
      </w:pPr>
      <w:r w:rsidRPr="00664B7D">
        <w:rPr>
          <w:rFonts w:cstheme="minorHAnsi"/>
        </w:rPr>
        <w:t>prac badawczo-rozwojowych,</w:t>
      </w:r>
    </w:p>
    <w:p w14:paraId="69A05DCA" w14:textId="77777777" w:rsidR="0049425B" w:rsidRPr="00664B7D" w:rsidRDefault="0049425B" w:rsidP="008327E9">
      <w:pPr>
        <w:numPr>
          <w:ilvl w:val="0"/>
          <w:numId w:val="17"/>
        </w:numPr>
        <w:spacing w:after="0"/>
        <w:ind w:left="426" w:hanging="426"/>
        <w:rPr>
          <w:rFonts w:cstheme="minorHAnsi"/>
        </w:rPr>
      </w:pPr>
      <w:r w:rsidRPr="00664B7D">
        <w:rPr>
          <w:rFonts w:cstheme="minorHAnsi"/>
        </w:rPr>
        <w:t>transakcje, bez względu na liczbę wynikających z nich płatności, dokonane w gotówce, których wartość przekracza kwotę, o której mowa w art. 19 ustawy z dnia 6 marca 2018 r. Prawo przedsiębiorców,</w:t>
      </w:r>
    </w:p>
    <w:p w14:paraId="483AF27D" w14:textId="77777777" w:rsidR="0049425B" w:rsidRPr="00664B7D" w:rsidRDefault="0049425B" w:rsidP="008327E9">
      <w:pPr>
        <w:numPr>
          <w:ilvl w:val="0"/>
          <w:numId w:val="17"/>
        </w:numPr>
        <w:spacing w:after="0"/>
        <w:ind w:left="426" w:hanging="426"/>
        <w:rPr>
          <w:rFonts w:cstheme="minorHAnsi"/>
        </w:rPr>
      </w:pPr>
      <w:r w:rsidRPr="00664B7D">
        <w:rPr>
          <w:rFonts w:cstheme="minorHAnsi"/>
        </w:rPr>
        <w:t>zaliczka wypłacona przez Beneficjenta niezgodnie z postanowieniami umowy, lub jeśli element objęty zaliczką nie jest kwalifikowalny lub nie został faktycznie zrealizowany lub dostarczony w okresie kwalifikowalności projektu.</w:t>
      </w:r>
    </w:p>
    <w:p w14:paraId="187572AA" w14:textId="77777777" w:rsidR="0049425B" w:rsidRPr="00664B7D" w:rsidRDefault="0049425B" w:rsidP="00F15960">
      <w:pPr>
        <w:numPr>
          <w:ilvl w:val="0"/>
          <w:numId w:val="40"/>
        </w:numPr>
        <w:spacing w:after="0"/>
        <w:ind w:left="426" w:hanging="426"/>
        <w:rPr>
          <w:rFonts w:cstheme="minorHAnsi"/>
        </w:rPr>
      </w:pPr>
      <w:r w:rsidRPr="00664B7D">
        <w:rPr>
          <w:rFonts w:cstheme="minorHAnsi"/>
        </w:rPr>
        <w:t>Ponadto niedozwolone jest podwójne finansowanie wydatków. Podwójne finansowanie oznacza w szczególności:</w:t>
      </w:r>
    </w:p>
    <w:p w14:paraId="6CBCA1A5" w14:textId="77777777" w:rsidR="0049425B" w:rsidRPr="00664B7D" w:rsidRDefault="0049425B" w:rsidP="008327E9">
      <w:pPr>
        <w:numPr>
          <w:ilvl w:val="0"/>
          <w:numId w:val="19"/>
        </w:numPr>
        <w:spacing w:after="0"/>
        <w:ind w:left="426" w:hanging="426"/>
        <w:rPr>
          <w:rFonts w:cstheme="minorHAnsi"/>
        </w:rPr>
      </w:pPr>
      <w:r w:rsidRPr="00664B7D">
        <w:rPr>
          <w:rFonts w:cstheme="minorHAnsi"/>
        </w:rPr>
        <w:t>więcej niż jednokrotne przedstawienie do rozliczenia tego samego wydatku albo tej samej części wydatku ze środków UE w jakiejkolwiek formie (w szczególności dotacji, pożyczki, gwarancji/poręczenia),</w:t>
      </w:r>
    </w:p>
    <w:p w14:paraId="1B92387F" w14:textId="77777777" w:rsidR="0049425B" w:rsidRPr="00664B7D" w:rsidRDefault="0049425B" w:rsidP="008327E9">
      <w:pPr>
        <w:numPr>
          <w:ilvl w:val="0"/>
          <w:numId w:val="19"/>
        </w:numPr>
        <w:spacing w:after="0"/>
        <w:ind w:left="426" w:hanging="426"/>
        <w:rPr>
          <w:rFonts w:cstheme="minorHAnsi"/>
        </w:rPr>
      </w:pPr>
      <w:r w:rsidRPr="00664B7D">
        <w:rPr>
          <w:rFonts w:cstheme="minorHAnsi"/>
        </w:rPr>
        <w:t>rozliczenie zakupu używanego środka trwałego, który był uprzednio współfinansowany z udziałem środków UE,</w:t>
      </w:r>
    </w:p>
    <w:p w14:paraId="538E15DC" w14:textId="77777777" w:rsidR="0049425B" w:rsidRPr="00664B7D" w:rsidRDefault="0049425B" w:rsidP="008327E9">
      <w:pPr>
        <w:numPr>
          <w:ilvl w:val="0"/>
          <w:numId w:val="19"/>
        </w:numPr>
        <w:spacing w:after="120"/>
        <w:ind w:left="426" w:hanging="426"/>
        <w:rPr>
          <w:rFonts w:cstheme="minorHAnsi"/>
        </w:rPr>
      </w:pPr>
      <w:r w:rsidRPr="00664B7D">
        <w:rPr>
          <w:rFonts w:cstheme="minorHAnsi"/>
        </w:rPr>
        <w:t>rozliczenie kosztów amortyzacji środka trwałego uprzednio zakupionego z udziałem środków UE,</w:t>
      </w:r>
    </w:p>
    <w:p w14:paraId="0CE97BD5" w14:textId="77777777" w:rsidR="0049425B" w:rsidRPr="00664B7D" w:rsidRDefault="0049425B" w:rsidP="008327E9">
      <w:pPr>
        <w:numPr>
          <w:ilvl w:val="0"/>
          <w:numId w:val="19"/>
        </w:numPr>
        <w:spacing w:after="0"/>
        <w:ind w:left="426" w:hanging="426"/>
        <w:rPr>
          <w:rFonts w:cstheme="minorHAnsi"/>
        </w:rPr>
      </w:pPr>
      <w:r w:rsidRPr="00664B7D">
        <w:rPr>
          <w:rFonts w:cstheme="minorHAnsi"/>
        </w:rPr>
        <w:t>rozliczenie wydatku poniesionego przez leasingodawcę na zakup przedmiotu leasingu w ramach leasingu finansowego, a następnie rozliczenie rat opłacanych przez Beneficjenta w związku z leasingiem tego przedmiotu,</w:t>
      </w:r>
    </w:p>
    <w:p w14:paraId="744044DC" w14:textId="77777777" w:rsidR="0049425B" w:rsidRPr="00664B7D" w:rsidRDefault="0049425B" w:rsidP="008327E9">
      <w:pPr>
        <w:numPr>
          <w:ilvl w:val="0"/>
          <w:numId w:val="19"/>
        </w:numPr>
        <w:spacing w:after="0"/>
        <w:ind w:left="426" w:hanging="426"/>
        <w:rPr>
          <w:rFonts w:cstheme="minorHAnsi"/>
        </w:rPr>
      </w:pPr>
      <w:r w:rsidRPr="00664B7D">
        <w:rPr>
          <w:rFonts w:cstheme="minorHAnsi"/>
        </w:rPr>
        <w:t>objęcie kosztów kwalifikowalnych jednocześnie wsparciem w formie pożyczki i gwarancji/poręczenia,</w:t>
      </w:r>
    </w:p>
    <w:p w14:paraId="609EABBF" w14:textId="77777777" w:rsidR="0049425B" w:rsidRPr="00664B7D" w:rsidRDefault="0049425B" w:rsidP="008327E9">
      <w:pPr>
        <w:numPr>
          <w:ilvl w:val="0"/>
          <w:numId w:val="19"/>
        </w:numPr>
        <w:spacing w:after="0"/>
        <w:ind w:left="426" w:hanging="426"/>
        <w:rPr>
          <w:rFonts w:cstheme="minorHAnsi"/>
        </w:rPr>
      </w:pPr>
      <w:r w:rsidRPr="00664B7D">
        <w:rPr>
          <w:rFonts w:cstheme="minorHAnsi"/>
        </w:rPr>
        <w:t>rozliczenie tego samego wydatku w kosztach pośrednich projektu oraz kosztach bezpośrednich projektu,</w:t>
      </w:r>
    </w:p>
    <w:p w14:paraId="422FBA18" w14:textId="77777777" w:rsidR="0049425B" w:rsidRPr="00664B7D" w:rsidRDefault="0049425B" w:rsidP="008327E9">
      <w:pPr>
        <w:numPr>
          <w:ilvl w:val="0"/>
          <w:numId w:val="19"/>
        </w:numPr>
        <w:spacing w:after="0"/>
        <w:ind w:left="426" w:hanging="426"/>
        <w:rPr>
          <w:rFonts w:cstheme="minorHAnsi"/>
        </w:rPr>
      </w:pPr>
      <w:r w:rsidRPr="00664B7D">
        <w:rPr>
          <w:rFonts w:cstheme="minorHAnsi"/>
        </w:rPr>
        <w:t>otrzymanie na wydatki kwalifikowalne danego projektu lub części projektu dotacji z kilku źródeł (krajowych, unijnych lub innych) w wysokości łącznie wyższej niż 100% wydatków kwalifikowalnych projektu lub części projektu.</w:t>
      </w:r>
    </w:p>
    <w:p w14:paraId="66A34EB0" w14:textId="77777777" w:rsidR="00985577" w:rsidRPr="00664B7D" w:rsidRDefault="005A5EDA" w:rsidP="00624057">
      <w:pPr>
        <w:pStyle w:val="Podrozdzia-K"/>
      </w:pPr>
      <w:bookmarkStart w:id="49" w:name="_Toc134446817"/>
      <w:bookmarkStart w:id="50" w:name="_Toc145936732"/>
      <w:r w:rsidRPr="00624057">
        <w:lastRenderedPageBreak/>
        <w:t>Udzielanie</w:t>
      </w:r>
      <w:r w:rsidRPr="00664B7D">
        <w:t xml:space="preserve"> zamówień w ramach projektu</w:t>
      </w:r>
      <w:bookmarkEnd w:id="49"/>
      <w:bookmarkEnd w:id="50"/>
      <w:r w:rsidR="006E0300" w:rsidRPr="00664B7D">
        <w:t xml:space="preserve"> </w:t>
      </w:r>
    </w:p>
    <w:p w14:paraId="220EA6B5" w14:textId="77777777" w:rsidR="005A5EDA" w:rsidRPr="00664B7D" w:rsidRDefault="005A5EDA" w:rsidP="001C3CAC">
      <w:pPr>
        <w:rPr>
          <w:rFonts w:cs="Arial"/>
        </w:rPr>
      </w:pPr>
      <w:r w:rsidRPr="00664B7D">
        <w:rPr>
          <w:rFonts w:cs="Arial"/>
        </w:rPr>
        <w:t>Szczegółowe informacje dotyczące udzielania zamówień w ramach projektów znajdują się w podrozdziale 3.2.</w:t>
      </w:r>
      <w:r w:rsidRPr="00664B7D">
        <w:rPr>
          <w:rFonts w:cs="Arial"/>
          <w:i/>
          <w:iCs/>
        </w:rPr>
        <w:t xml:space="preserve"> Wytycznych kwalifikowalności</w:t>
      </w:r>
      <w:r w:rsidRPr="00664B7D">
        <w:rPr>
          <w:rFonts w:cs="Arial"/>
        </w:rPr>
        <w:t xml:space="preserve">. </w:t>
      </w:r>
    </w:p>
    <w:p w14:paraId="271E2F65" w14:textId="77777777" w:rsidR="005A5EDA" w:rsidRPr="00664B7D" w:rsidRDefault="005A5EDA" w:rsidP="001C3CAC">
      <w:pPr>
        <w:rPr>
          <w:rFonts w:cs="Arial"/>
        </w:rPr>
      </w:pPr>
      <w:r w:rsidRPr="00664B7D">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4C0CEDAA" w14:textId="77777777" w:rsidR="005A5EDA" w:rsidRPr="00664B7D" w:rsidRDefault="005A5EDA" w:rsidP="001C3CAC">
      <w:pPr>
        <w:spacing w:after="0"/>
        <w:rPr>
          <w:rFonts w:cs="Arial"/>
        </w:rPr>
      </w:pPr>
      <w:r w:rsidRPr="00664B7D">
        <w:rPr>
          <w:rFonts w:cs="Arial"/>
          <w:i/>
          <w:iCs/>
        </w:rPr>
        <w:t xml:space="preserve">Wytyczne kwalifikowalności </w:t>
      </w:r>
      <w:r w:rsidRPr="00664B7D">
        <w:rPr>
          <w:rFonts w:cs="Arial"/>
        </w:rPr>
        <w:t xml:space="preserve">wskazują dwie procedury postępowania w zakresie zamówień publicznych: </w:t>
      </w:r>
    </w:p>
    <w:p w14:paraId="27066089" w14:textId="77777777" w:rsidR="005A5EDA" w:rsidRPr="00664B7D" w:rsidRDefault="005A5EDA" w:rsidP="001C3CAC">
      <w:pPr>
        <w:spacing w:after="0"/>
        <w:rPr>
          <w:rFonts w:cs="Arial"/>
        </w:rPr>
      </w:pPr>
      <w:r w:rsidRPr="00664B7D">
        <w:rPr>
          <w:rFonts w:cs="Arial"/>
        </w:rPr>
        <w:t xml:space="preserve">a) zasada konkurencyjności; </w:t>
      </w:r>
    </w:p>
    <w:p w14:paraId="3AB23013" w14:textId="77777777" w:rsidR="005A5EDA" w:rsidRPr="00664B7D" w:rsidRDefault="005A5EDA" w:rsidP="001C3CAC">
      <w:pPr>
        <w:rPr>
          <w:rFonts w:cs="Arial"/>
          <w:i/>
          <w:iCs/>
        </w:rPr>
      </w:pPr>
      <w:r w:rsidRPr="00664B7D">
        <w:rPr>
          <w:rFonts w:cs="Arial"/>
        </w:rPr>
        <w:t>b) tryby udzielania zamówień przewidziane ustawą PZP.</w:t>
      </w:r>
    </w:p>
    <w:p w14:paraId="60EB2D9B" w14:textId="77777777" w:rsidR="005A5EDA" w:rsidRPr="00664B7D" w:rsidRDefault="005A5EDA" w:rsidP="001C3CAC">
      <w:pPr>
        <w:rPr>
          <w:rFonts w:cs="Arial"/>
        </w:rPr>
      </w:pPr>
      <w:r w:rsidRPr="00664B7D">
        <w:rPr>
          <w:rFonts w:cs="Arial"/>
        </w:rPr>
        <w:t xml:space="preserve">W przypadku, gdy Wnioskodawca rozpoczyna realizację projektu przed </w:t>
      </w:r>
      <w:r w:rsidR="00335249" w:rsidRPr="00664B7D">
        <w:rPr>
          <w:rFonts w:cs="Arial"/>
        </w:rPr>
        <w:t>przyjęciem Zasad realizacji projektu</w:t>
      </w:r>
      <w:r w:rsidRPr="00664B7D">
        <w:rPr>
          <w:rFonts w:cs="Arial"/>
        </w:rPr>
        <w:t>, upublicznia zapytanie ofertowe w BK2021.</w:t>
      </w:r>
    </w:p>
    <w:p w14:paraId="394171F2" w14:textId="77777777" w:rsidR="005A5EDA" w:rsidRPr="00664B7D" w:rsidRDefault="005A5EDA" w:rsidP="001C3CAC">
      <w:pPr>
        <w:rPr>
          <w:rFonts w:cs="Arial"/>
        </w:rPr>
      </w:pPr>
      <w:r w:rsidRPr="00664B7D">
        <w:rPr>
          <w:rFonts w:cs="Arial"/>
        </w:rPr>
        <w:t xml:space="preserve">Mając na uwadze ścieżkę audytu, Beneficjent przeprowadzając zasadę konkurencyjności ma obowiązek realizować i dokumentować ją w całości na platformie zakupowej Baza konkurencyjności. Samo ogłoszenie (zapytanie ofertowe) może być dodatkowo publikowane w innych miejscach, niemniej z odpowiednim odesłaniem do BK2021. </w:t>
      </w:r>
    </w:p>
    <w:p w14:paraId="1EBD1434" w14:textId="77777777" w:rsidR="005A5EDA" w:rsidRPr="00664B7D" w:rsidRDefault="005A5EDA" w:rsidP="005F7159">
      <w:pPr>
        <w:rPr>
          <w:rFonts w:cs="Arial"/>
          <w:shd w:val="clear" w:color="auto" w:fill="FFFFFF"/>
        </w:rPr>
      </w:pPr>
      <w:r w:rsidRPr="00664B7D">
        <w:rPr>
          <w:rFonts w:cs="Arial"/>
          <w:shd w:val="clear" w:color="auto" w:fill="FFFFFF"/>
        </w:rPr>
        <w:t xml:space="preserve">Każdy Beneficjent powinien zapamiętać, iż progiem od którego stosować należy zasadę konkurencyjności jest kwota 50 000 zł bez podatku od towarów i usług. Kwota ta odnosi się do zagregowanej, zgodnie z zasadami określonymi w </w:t>
      </w:r>
      <w:r w:rsidRPr="00664B7D">
        <w:rPr>
          <w:rFonts w:cs="Arial"/>
          <w:i/>
          <w:iCs/>
          <w:shd w:val="clear" w:color="auto" w:fill="FFFFFF"/>
        </w:rPr>
        <w:t>Wytycznych kwalifikowalności</w:t>
      </w:r>
      <w:r w:rsidRPr="00664B7D">
        <w:rPr>
          <w:rFonts w:cs="Arial"/>
          <w:shd w:val="clear" w:color="auto" w:fill="FFFFFF"/>
        </w:rPr>
        <w:t>, wartości zamówienia a nie wartości pojedynczego zakupu.</w:t>
      </w:r>
    </w:p>
    <w:p w14:paraId="56BCC6B6" w14:textId="77777777" w:rsidR="005A5EDA" w:rsidRPr="00664B7D" w:rsidRDefault="005A5EDA" w:rsidP="001C3CAC">
      <w:pPr>
        <w:rPr>
          <w:rFonts w:cs="Arial"/>
          <w:shd w:val="clear" w:color="auto" w:fill="FFFFFF"/>
        </w:rPr>
      </w:pPr>
      <w:r w:rsidRPr="00664B7D">
        <w:rPr>
          <w:rFonts w:cs="Arial"/>
          <w:shd w:val="clear" w:color="auto" w:fill="FFFFFF"/>
        </w:rPr>
        <w:t xml:space="preserve">Zasady konkurencyjności nie stosuje się m.in. do zamówień, do których zastosowanie będzie mieć ustawa – Prawo zamówień publicznych. </w:t>
      </w:r>
    </w:p>
    <w:p w14:paraId="23201A52" w14:textId="77777777" w:rsidR="00D1599D" w:rsidRPr="00664B7D" w:rsidRDefault="00D1599D" w:rsidP="00D1599D">
      <w:pPr>
        <w:spacing w:after="0"/>
      </w:pPr>
      <w:r w:rsidRPr="00664B7D">
        <w:t>W przypadku zakupu towaru, usług lub dostaw do wysokości 50 tys. zł netto,</w:t>
      </w:r>
    </w:p>
    <w:p w14:paraId="219E8C57" w14:textId="01018768" w:rsidR="00D1599D" w:rsidRPr="00664B7D" w:rsidRDefault="004D49ED" w:rsidP="00D1599D">
      <w:r w:rsidRPr="00664B7D">
        <w:t>B</w:t>
      </w:r>
      <w:r w:rsidR="00D1599D" w:rsidRPr="00664B7D">
        <w:t xml:space="preserve">eneficjent stosuje swoje wewnętrzne procedury. </w:t>
      </w:r>
    </w:p>
    <w:p w14:paraId="5A7AA332" w14:textId="77777777" w:rsidR="005A5EDA" w:rsidRPr="00664B7D" w:rsidRDefault="005A5EDA" w:rsidP="001C3CAC">
      <w:r w:rsidRPr="00664B7D">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p>
    <w:p w14:paraId="2DD39AD8" w14:textId="77777777" w:rsidR="005A5EDA" w:rsidRPr="00664B7D" w:rsidRDefault="005A5EDA" w:rsidP="001C3CAC">
      <w:pPr>
        <w:rPr>
          <w:rFonts w:cs="Arial"/>
          <w:shd w:val="clear" w:color="auto" w:fill="FFFFFF"/>
        </w:rPr>
      </w:pPr>
      <w:r w:rsidRPr="00664B7D">
        <w:rPr>
          <w:rFonts w:cs="Arial"/>
          <w:i/>
          <w:iCs/>
          <w:shd w:val="clear" w:color="auto" w:fill="FFFFFF"/>
        </w:rPr>
        <w:t xml:space="preserve">Wytyczne kwalifikowalności </w:t>
      </w:r>
      <w:r w:rsidRPr="00664B7D">
        <w:rPr>
          <w:rFonts w:cs="Arial"/>
          <w:shd w:val="clear" w:color="auto" w:fill="FFFFFF"/>
        </w:rPr>
        <w:t>dopuszczają szereg sytuacji, w których Beneficjent będzie mógł odstąpić  od stosowania zasady konkurencyjności. Są to tzw. wyłączenia, których zamknięty katalog zamieszc</w:t>
      </w:r>
      <w:r w:rsidR="0086171E" w:rsidRPr="00664B7D">
        <w:rPr>
          <w:rFonts w:cs="Arial"/>
          <w:shd w:val="clear" w:color="auto" w:fill="FFFFFF"/>
        </w:rPr>
        <w:t>zono w sekcji 3.2.1 Wytycznych kwalifikowalności.</w:t>
      </w:r>
    </w:p>
    <w:p w14:paraId="29E8169A" w14:textId="36616576" w:rsidR="00985577" w:rsidRPr="00664B7D" w:rsidRDefault="005A5EDA" w:rsidP="001C3CAC">
      <w:pPr>
        <w:rPr>
          <w:rFonts w:cs="Arial"/>
          <w:bCs/>
          <w:shd w:val="clear" w:color="auto" w:fill="FFFFFF"/>
        </w:rPr>
      </w:pPr>
      <w:r w:rsidRPr="00664B7D">
        <w:rPr>
          <w:rFonts w:cs="Arial"/>
          <w:b/>
          <w:shd w:val="clear" w:color="auto" w:fill="FFFFFF"/>
        </w:rPr>
        <w:lastRenderedPageBreak/>
        <w:t>Zapamiętać należy, że poszczególne wyłączenia, jak każde wyjątki od określonej zasady, traktować należy bardzo wąsko i nie powinniśmy dokonywać ich rozszerzającej wykładni</w:t>
      </w:r>
      <w:r w:rsidRPr="00664B7D">
        <w:rPr>
          <w:rFonts w:cs="Arial"/>
          <w:bCs/>
          <w:shd w:val="clear" w:color="auto" w:fill="FFFFFF"/>
        </w:rPr>
        <w:t>. </w:t>
      </w:r>
    </w:p>
    <w:p w14:paraId="517E38F5" w14:textId="0631861D" w:rsidR="00603D2D" w:rsidRPr="004352CB" w:rsidRDefault="00603D2D" w:rsidP="00624057">
      <w:pPr>
        <w:pStyle w:val="Podrozdzia-K"/>
      </w:pPr>
      <w:bookmarkStart w:id="51" w:name="_Toc145936733"/>
      <w:r w:rsidRPr="00624057">
        <w:t>Informacja</w:t>
      </w:r>
      <w:r w:rsidRPr="004352CB">
        <w:t xml:space="preserve"> i promocja</w:t>
      </w:r>
      <w:bookmarkEnd w:id="51"/>
      <w:r w:rsidRPr="004352CB">
        <w:t xml:space="preserve"> </w:t>
      </w:r>
    </w:p>
    <w:p w14:paraId="52FA2608" w14:textId="77777777" w:rsidR="004A131D" w:rsidRPr="00664B7D" w:rsidRDefault="00603D2D" w:rsidP="00F15960">
      <w:pPr>
        <w:pStyle w:val="Akapitzlist"/>
        <w:numPr>
          <w:ilvl w:val="0"/>
          <w:numId w:val="57"/>
        </w:numPr>
        <w:spacing w:after="120"/>
        <w:ind w:left="426" w:hanging="426"/>
        <w:rPr>
          <w:rFonts w:cs="Arial"/>
          <w:bCs/>
          <w:shd w:val="clear" w:color="auto" w:fill="FFFFFF"/>
        </w:rPr>
      </w:pPr>
      <w:r w:rsidRPr="00664B7D">
        <w:rPr>
          <w:rFonts w:cs="Arial"/>
          <w:bCs/>
          <w:shd w:val="clear" w:color="auto" w:fill="FFFFFF"/>
        </w:rPr>
        <w:t>Działania informacyjne i promocyjne są elementem realizacji projektów dofinansowanych z Funduszy Europejskich. Działania te są równie istotne, jak wszystkie pozostałe i podlegają kontroli.</w:t>
      </w:r>
    </w:p>
    <w:p w14:paraId="17306BC7" w14:textId="77777777" w:rsidR="004A131D" w:rsidRPr="00664B7D" w:rsidRDefault="00603D2D" w:rsidP="00F15960">
      <w:pPr>
        <w:pStyle w:val="Akapitzlist"/>
        <w:numPr>
          <w:ilvl w:val="0"/>
          <w:numId w:val="57"/>
        </w:numPr>
        <w:spacing w:after="120"/>
        <w:ind w:left="426" w:hanging="426"/>
        <w:rPr>
          <w:rFonts w:cs="Arial"/>
          <w:bCs/>
          <w:shd w:val="clear" w:color="auto" w:fill="FFFFFF"/>
        </w:rPr>
      </w:pPr>
      <w:r w:rsidRPr="00664B7D">
        <w:rPr>
          <w:rFonts w:cs="Arial"/>
          <w:bCs/>
          <w:shd w:val="clear" w:color="auto" w:fill="FFFFFF"/>
        </w:rPr>
        <w:t>Beneficjent ma obowiązek informowania opinii publicznej, uczestników i odbiorców ostatecznych projektu o uzyskanym dofinansowaniu.</w:t>
      </w:r>
    </w:p>
    <w:p w14:paraId="23C42476" w14:textId="77777777" w:rsidR="00F816D9" w:rsidRPr="00664B7D" w:rsidRDefault="00603D2D" w:rsidP="00F15960">
      <w:pPr>
        <w:pStyle w:val="Akapitzlist"/>
        <w:numPr>
          <w:ilvl w:val="0"/>
          <w:numId w:val="57"/>
        </w:numPr>
        <w:spacing w:after="120"/>
        <w:ind w:left="426" w:hanging="426"/>
        <w:rPr>
          <w:rFonts w:cs="Arial"/>
          <w:bCs/>
          <w:shd w:val="clear" w:color="auto" w:fill="FFFFFF"/>
        </w:rPr>
      </w:pPr>
      <w:r w:rsidRPr="00664B7D">
        <w:rPr>
          <w:rFonts w:cs="Arial"/>
          <w:bCs/>
          <w:shd w:val="clear" w:color="auto" w:fill="FFFFFF"/>
        </w:rPr>
        <w:t xml:space="preserve">Niewypełnienie niektórych obowiązków </w:t>
      </w:r>
      <w:r w:rsidR="004A131D" w:rsidRPr="00664B7D">
        <w:rPr>
          <w:rFonts w:cs="Arial"/>
          <w:bCs/>
          <w:shd w:val="clear" w:color="auto" w:fill="FFFFFF"/>
        </w:rPr>
        <w:t>z zakresu informacji i po</w:t>
      </w:r>
      <w:r w:rsidRPr="00664B7D">
        <w:rPr>
          <w:rFonts w:cs="Arial"/>
          <w:bCs/>
          <w:shd w:val="clear" w:color="auto" w:fill="FFFFFF"/>
        </w:rPr>
        <w:t>może skutkować pomniejszeniem dofinansowania.</w:t>
      </w:r>
    </w:p>
    <w:p w14:paraId="57BC8F09" w14:textId="426B2701" w:rsidR="00E40F54" w:rsidRPr="00664B7D" w:rsidRDefault="00603D2D" w:rsidP="00F15960">
      <w:pPr>
        <w:pStyle w:val="Akapitzlist"/>
        <w:numPr>
          <w:ilvl w:val="0"/>
          <w:numId w:val="57"/>
        </w:numPr>
        <w:spacing w:after="120"/>
        <w:ind w:left="426" w:hanging="426"/>
        <w:rPr>
          <w:rFonts w:cs="Arial"/>
          <w:bCs/>
          <w:shd w:val="clear" w:color="auto" w:fill="FFFFFF"/>
        </w:rPr>
      </w:pPr>
      <w:r w:rsidRPr="00664B7D">
        <w:rPr>
          <w:rFonts w:cs="Arial"/>
          <w:bCs/>
          <w:shd w:val="clear" w:color="auto" w:fill="FFFFFF"/>
        </w:rPr>
        <w:t>R</w:t>
      </w:r>
      <w:r w:rsidR="00E40F54" w:rsidRPr="00664B7D">
        <w:rPr>
          <w:rFonts w:cs="Arial"/>
          <w:bCs/>
          <w:shd w:val="clear" w:color="auto" w:fill="FFFFFF"/>
        </w:rPr>
        <w:t>ealizując</w:t>
      </w:r>
      <w:r w:rsidRPr="00664B7D">
        <w:rPr>
          <w:rFonts w:cs="Arial"/>
          <w:bCs/>
          <w:shd w:val="clear" w:color="auto" w:fill="FFFFFF"/>
        </w:rPr>
        <w:t xml:space="preserve"> projekt, </w:t>
      </w:r>
      <w:r w:rsidR="00E40F54" w:rsidRPr="00664B7D">
        <w:rPr>
          <w:rFonts w:cs="Arial"/>
          <w:bCs/>
          <w:shd w:val="clear" w:color="auto" w:fill="FFFFFF"/>
        </w:rPr>
        <w:t>Beneficjent bierze</w:t>
      </w:r>
      <w:r w:rsidRPr="00664B7D">
        <w:rPr>
          <w:rFonts w:cs="Arial"/>
          <w:bCs/>
          <w:shd w:val="clear" w:color="auto" w:fill="FFFFFF"/>
        </w:rPr>
        <w:t xml:space="preserve"> udział w komunikacji Funduszy Europejskich w Polsce. Dlatego tak ważne jest to, aby działania komunikacyjne realizować dobrze i efektywnie, bo składają się one na postrzeganie Funduszy Europejskich, a tym samym Unii Europejskiej.</w:t>
      </w:r>
    </w:p>
    <w:p w14:paraId="691410DF" w14:textId="056579E6" w:rsidR="00624057" w:rsidRPr="00624057" w:rsidRDefault="008D6571" w:rsidP="00624057">
      <w:pPr>
        <w:spacing w:after="120"/>
        <w:rPr>
          <w:rFonts w:cs="Arial"/>
          <w:bCs/>
          <w:shd w:val="clear" w:color="auto" w:fill="FFFFFF"/>
        </w:rPr>
      </w:pPr>
      <w:r w:rsidRPr="00664B7D">
        <w:rPr>
          <w:rFonts w:eastAsia="Calibri"/>
          <w:b/>
          <w:color w:val="2F5496"/>
        </w:rPr>
        <w:t xml:space="preserve">UWAGA! </w:t>
      </w:r>
      <w:r w:rsidR="00E40F54" w:rsidRPr="00664B7D">
        <w:rPr>
          <w:rFonts w:cs="Arial"/>
          <w:bCs/>
          <w:shd w:val="clear" w:color="auto" w:fill="FFFFFF"/>
        </w:rPr>
        <w:t>Projekt, który zostanie przygot</w:t>
      </w:r>
      <w:r w:rsidR="00864967" w:rsidRPr="00664B7D">
        <w:rPr>
          <w:rFonts w:cs="Arial"/>
          <w:bCs/>
          <w:shd w:val="clear" w:color="auto" w:fill="FFFFFF"/>
        </w:rPr>
        <w:t>owany na podstawie niniejszego R</w:t>
      </w:r>
      <w:r w:rsidR="00E40F54" w:rsidRPr="00664B7D">
        <w:rPr>
          <w:rFonts w:cs="Arial"/>
          <w:bCs/>
          <w:shd w:val="clear" w:color="auto" w:fill="FFFFFF"/>
        </w:rPr>
        <w:t>egulaminu ma znaczenie strategiczne, w związku z powyższym obowiązkiem Beneficjenta będzie zorganizowanie wydarzenia lub działania informacyjno-promocyjnego (np. konferencj</w:t>
      </w:r>
      <w:r w:rsidR="00F816D9" w:rsidRPr="00664B7D">
        <w:rPr>
          <w:rFonts w:cs="Arial"/>
          <w:bCs/>
          <w:shd w:val="clear" w:color="auto" w:fill="FFFFFF"/>
        </w:rPr>
        <w:t xml:space="preserve">i </w:t>
      </w:r>
      <w:r w:rsidR="00E40F54" w:rsidRPr="00664B7D">
        <w:rPr>
          <w:rFonts w:cs="Arial"/>
          <w:bCs/>
          <w:shd w:val="clear" w:color="auto" w:fill="FFFFFF"/>
        </w:rPr>
        <w:t>prasow</w:t>
      </w:r>
      <w:r w:rsidR="00F816D9" w:rsidRPr="00664B7D">
        <w:rPr>
          <w:rFonts w:cs="Arial"/>
          <w:bCs/>
          <w:shd w:val="clear" w:color="auto" w:fill="FFFFFF"/>
        </w:rPr>
        <w:t>ej</w:t>
      </w:r>
      <w:r w:rsidR="00E40F54" w:rsidRPr="00664B7D">
        <w:rPr>
          <w:rFonts w:cs="Arial"/>
          <w:bCs/>
          <w:shd w:val="clear" w:color="auto" w:fill="FFFFFF"/>
        </w:rPr>
        <w:t>, wydarzeni</w:t>
      </w:r>
      <w:r w:rsidR="00F816D9" w:rsidRPr="00664B7D">
        <w:rPr>
          <w:rFonts w:cs="Arial"/>
          <w:bCs/>
          <w:shd w:val="clear" w:color="auto" w:fill="FFFFFF"/>
        </w:rPr>
        <w:t>a</w:t>
      </w:r>
      <w:r w:rsidR="00E40F54" w:rsidRPr="00664B7D">
        <w:rPr>
          <w:rFonts w:cs="Arial"/>
          <w:bCs/>
          <w:shd w:val="clear" w:color="auto" w:fill="FFFFFF"/>
        </w:rPr>
        <w:t xml:space="preserve"> promujące</w:t>
      </w:r>
      <w:r w:rsidR="00F816D9" w:rsidRPr="00664B7D">
        <w:rPr>
          <w:rFonts w:cs="Arial"/>
          <w:bCs/>
          <w:shd w:val="clear" w:color="auto" w:fill="FFFFFF"/>
        </w:rPr>
        <w:t>go</w:t>
      </w:r>
      <w:r w:rsidR="00E40F54" w:rsidRPr="00664B7D">
        <w:rPr>
          <w:rFonts w:cs="Arial"/>
          <w:bCs/>
          <w:shd w:val="clear" w:color="auto" w:fill="FFFFFF"/>
        </w:rPr>
        <w:t xml:space="preserve"> projekt, udział w targach branżowych) w ważnym momencie realizacji projektu, np. na otwarcie projektu, zakończenie projektu lub jego ważnego etapu. Do udziału w wydarzeniu należy zaprosić przedstawicieli Komisji Europejskiej i Instytucji Zarządzającej z co najmniej 4-tygodniowym wyprzedzeniem.</w:t>
      </w:r>
      <w:r w:rsidR="00624057">
        <w:br w:type="page"/>
      </w:r>
    </w:p>
    <w:p w14:paraId="47B7EC62" w14:textId="3877DADD" w:rsidR="00D6679F" w:rsidRPr="00664B7D" w:rsidRDefault="00F63044" w:rsidP="00E33E29">
      <w:pPr>
        <w:pStyle w:val="Rozdzia-K"/>
        <w:spacing w:line="480" w:lineRule="auto"/>
        <w:jc w:val="left"/>
      </w:pPr>
      <w:bookmarkStart w:id="52" w:name="_Toc145936734"/>
      <w:r>
        <w:lastRenderedPageBreak/>
        <w:t>Sposób wyboru projektu, jego opis i rozstrzygnięcie naboru</w:t>
      </w:r>
      <w:bookmarkEnd w:id="52"/>
    </w:p>
    <w:p w14:paraId="75F44EA7" w14:textId="700F0531" w:rsidR="001C1F27" w:rsidRPr="00664B7D" w:rsidRDefault="00D41FCC" w:rsidP="001C3CAC">
      <w:pPr>
        <w:rPr>
          <w:rFonts w:cs="Arial"/>
        </w:rPr>
      </w:pPr>
      <w:r w:rsidRPr="00664B7D">
        <w:rPr>
          <w:rFonts w:cs="Arial"/>
        </w:rPr>
        <w:t xml:space="preserve">Wybór </w:t>
      </w:r>
      <w:r w:rsidR="00337BB6" w:rsidRPr="00664B7D">
        <w:rPr>
          <w:rFonts w:cs="Arial"/>
        </w:rPr>
        <w:t>projektu odbywa się w sposób niekonkurencyjny. Celem postępowania w ramach naboru jest</w:t>
      </w:r>
      <w:r w:rsidR="003557AF" w:rsidRPr="00664B7D">
        <w:rPr>
          <w:rFonts w:cs="Arial"/>
        </w:rPr>
        <w:t xml:space="preserve"> wybór</w:t>
      </w:r>
      <w:r w:rsidR="00337BB6" w:rsidRPr="00664B7D">
        <w:rPr>
          <w:rFonts w:cs="Arial"/>
        </w:rPr>
        <w:t xml:space="preserve"> do dofinansowania projektu</w:t>
      </w:r>
      <w:r w:rsidR="003557AF" w:rsidRPr="00664B7D">
        <w:rPr>
          <w:rFonts w:cs="Arial"/>
        </w:rPr>
        <w:t xml:space="preserve"> </w:t>
      </w:r>
      <w:r w:rsidR="003557AF" w:rsidRPr="00664B7D">
        <w:t xml:space="preserve">strategicznego </w:t>
      </w:r>
      <w:r w:rsidR="00606045" w:rsidRPr="00664B7D">
        <w:t>Wsparcie organizacji społeczeństwa obywatelskiego i partnerów społecznych</w:t>
      </w:r>
      <w:r w:rsidR="00337BB6" w:rsidRPr="00664B7D">
        <w:rPr>
          <w:rFonts w:cs="Arial"/>
        </w:rPr>
        <w:t>. Wniosek o dofinansowanie zostanie oceniony przez KOP pod względem spełnienia kryteriów wyboru projektów stanowiących załącznik nr 1 do Regulaminu wyboru projektów.</w:t>
      </w:r>
    </w:p>
    <w:p w14:paraId="387A61D1" w14:textId="77777777" w:rsidR="007010C9" w:rsidRPr="00664B7D" w:rsidRDefault="00BA230C" w:rsidP="00624057">
      <w:pPr>
        <w:pStyle w:val="Podrozdzia-K"/>
      </w:pPr>
      <w:bookmarkStart w:id="53" w:name="_Toc145936735"/>
      <w:r w:rsidRPr="00624057">
        <w:t>Opis</w:t>
      </w:r>
      <w:r w:rsidRPr="00664B7D">
        <w:t xml:space="preserve"> procedury oceny projektów</w:t>
      </w:r>
      <w:bookmarkEnd w:id="53"/>
      <w:r w:rsidR="001C34A8" w:rsidRPr="00664B7D">
        <w:t xml:space="preserve"> </w:t>
      </w:r>
    </w:p>
    <w:p w14:paraId="4A076039" w14:textId="40A443A6" w:rsidR="00AE48CA" w:rsidRPr="00664B7D" w:rsidRDefault="00AE48CA" w:rsidP="00F15960">
      <w:pPr>
        <w:pStyle w:val="Akapitzlist"/>
        <w:numPr>
          <w:ilvl w:val="0"/>
          <w:numId w:val="32"/>
        </w:numPr>
        <w:spacing w:after="200"/>
        <w:ind w:left="426" w:hanging="426"/>
        <w:rPr>
          <w:rFonts w:eastAsia="Calibri" w:cs="Arial"/>
        </w:rPr>
      </w:pPr>
      <w:r w:rsidRPr="00664B7D">
        <w:t>O</w:t>
      </w:r>
      <w:r w:rsidRPr="00664B7D">
        <w:rPr>
          <w:rFonts w:eastAsia="Calibri" w:cs="Arial"/>
        </w:rPr>
        <w:t>ceny spełnienia kryteriów wyboru projektów złożonych w ramach naboru dokonuje niezależnie dwóch wylosowanych członków KOP</w:t>
      </w:r>
      <w:r w:rsidR="004205D0" w:rsidRPr="00664B7D">
        <w:rPr>
          <w:rFonts w:eastAsia="Calibri" w:cs="Arial"/>
        </w:rPr>
        <w:t>.</w:t>
      </w:r>
    </w:p>
    <w:p w14:paraId="3620653D" w14:textId="77777777" w:rsidR="00F816D9" w:rsidRPr="00664B7D" w:rsidRDefault="00AE48CA" w:rsidP="00F15960">
      <w:pPr>
        <w:pStyle w:val="Akapitzlist"/>
        <w:numPr>
          <w:ilvl w:val="0"/>
          <w:numId w:val="32"/>
        </w:numPr>
        <w:spacing w:after="200"/>
        <w:ind w:left="426" w:hanging="426"/>
        <w:rPr>
          <w:rFonts w:eastAsia="Calibri" w:cs="Arial"/>
        </w:rPr>
      </w:pPr>
      <w:r w:rsidRPr="00664B7D">
        <w:rPr>
          <w:rFonts w:eastAsia="Calibri" w:cs="Arial"/>
        </w:rPr>
        <w:t>Przewodniczącym KOP, jego Zastępcą oraz Sekretarzem KOP są pracownicy IZ.</w:t>
      </w:r>
    </w:p>
    <w:p w14:paraId="50DF5B3A" w14:textId="3E289672" w:rsidR="00AE48CA" w:rsidRPr="00664B7D" w:rsidRDefault="00AE48CA" w:rsidP="00F15960">
      <w:pPr>
        <w:pStyle w:val="Akapitzlist"/>
        <w:numPr>
          <w:ilvl w:val="0"/>
          <w:numId w:val="32"/>
        </w:numPr>
        <w:spacing w:after="200"/>
        <w:ind w:left="426" w:hanging="426"/>
        <w:rPr>
          <w:rFonts w:eastAsia="Calibri" w:cs="Arial"/>
        </w:rPr>
      </w:pPr>
      <w:r w:rsidRPr="00664B7D">
        <w:rPr>
          <w:rFonts w:eastAsia="Calibri" w:cs="Arial"/>
        </w:rPr>
        <w:t>Wymogi, które muszą spełniać wszyscy członkowie KOP, w tym dotyczące ich bezstronności i zachowania poufności prac KOP oraz danych i informacji zawartych we </w:t>
      </w:r>
      <w:r w:rsidR="003557AF" w:rsidRPr="00664B7D">
        <w:rPr>
          <w:rFonts w:eastAsia="Calibri" w:cs="Arial"/>
        </w:rPr>
        <w:t>wniosku</w:t>
      </w:r>
      <w:r w:rsidRPr="00664B7D">
        <w:rPr>
          <w:rFonts w:eastAsia="Calibri" w:cs="Arial"/>
        </w:rPr>
        <w:t xml:space="preserve"> o dofinansowanie, jak również opis sposobu przeprowadzenia procedury losowania członków KOP dokonujących oceny, o</w:t>
      </w:r>
      <w:r w:rsidR="00B564E8" w:rsidRPr="00664B7D">
        <w:rPr>
          <w:rFonts w:eastAsia="Calibri" w:cs="Arial"/>
        </w:rPr>
        <w:t xml:space="preserve">kreśla </w:t>
      </w:r>
      <w:r w:rsidR="00A82BAF" w:rsidRPr="00664B7D">
        <w:rPr>
          <w:rFonts w:eastAsia="Calibri" w:cs="Arial"/>
          <w:i/>
          <w:iCs/>
        </w:rPr>
        <w:t xml:space="preserve">Regulamin Komisji Oceny Projektów w ramach procedury konkurencyjnej i niekonkurencyjnej dla Działań 6.1, 6.2, 6.3, 6.4, 6.5, 7.5 i 7.6 w ramach Programu Fundusze Europejskie dla Warmii i Mazur 2021-2027 </w:t>
      </w:r>
      <w:r w:rsidR="00A82BAF" w:rsidRPr="00664B7D">
        <w:rPr>
          <w:rFonts w:eastAsia="Calibri" w:cs="Arial"/>
        </w:rPr>
        <w:t>(zwany dalej Re</w:t>
      </w:r>
      <w:r w:rsidR="00CE3FCE" w:rsidRPr="00664B7D">
        <w:rPr>
          <w:rFonts w:eastAsia="Calibri" w:cs="Arial"/>
        </w:rPr>
        <w:t>gulaminem KOP)</w:t>
      </w:r>
      <w:r w:rsidRPr="00664B7D">
        <w:rPr>
          <w:rFonts w:eastAsia="Calibri" w:cs="Arial"/>
        </w:rPr>
        <w:t>. Wyniki tego losowania zawier</w:t>
      </w:r>
      <w:r w:rsidR="00927ECA" w:rsidRPr="00664B7D">
        <w:rPr>
          <w:rFonts w:eastAsia="Calibri" w:cs="Arial"/>
        </w:rPr>
        <w:t>a natomiast Protokół z</w:t>
      </w:r>
      <w:r w:rsidRPr="00664B7D">
        <w:rPr>
          <w:rFonts w:eastAsia="Calibri" w:cs="Arial"/>
        </w:rPr>
        <w:t xml:space="preserve"> prac KOP. </w:t>
      </w:r>
    </w:p>
    <w:p w14:paraId="23BBB051" w14:textId="77777777" w:rsidR="007010C9" w:rsidRPr="00664B7D" w:rsidRDefault="007010C9" w:rsidP="00F15960">
      <w:pPr>
        <w:pStyle w:val="Akapitzlist"/>
        <w:numPr>
          <w:ilvl w:val="0"/>
          <w:numId w:val="32"/>
        </w:numPr>
        <w:spacing w:after="200"/>
        <w:ind w:left="426" w:hanging="426"/>
        <w:rPr>
          <w:rFonts w:eastAsia="Calibri" w:cs="Arial"/>
        </w:rPr>
      </w:pPr>
      <w:r w:rsidRPr="00664B7D">
        <w:t>Ocena formalno-merytoryczna odbywa się na zas</w:t>
      </w:r>
      <w:r w:rsidR="003557AF" w:rsidRPr="00664B7D">
        <w:t>adach określonych w Regulaminie</w:t>
      </w:r>
      <w:r w:rsidR="00AE48CA" w:rsidRPr="00664B7D">
        <w:t xml:space="preserve"> KOP</w:t>
      </w:r>
      <w:r w:rsidR="00D94F1A" w:rsidRPr="00664B7D">
        <w:t>.</w:t>
      </w:r>
    </w:p>
    <w:p w14:paraId="7267CAA5" w14:textId="3C0160CE" w:rsidR="007010C9" w:rsidRPr="00F63044" w:rsidRDefault="007010C9" w:rsidP="00F15960">
      <w:pPr>
        <w:pStyle w:val="Akapitzlist"/>
        <w:numPr>
          <w:ilvl w:val="0"/>
          <w:numId w:val="32"/>
        </w:numPr>
        <w:spacing w:after="200"/>
        <w:ind w:left="426" w:hanging="426"/>
        <w:rPr>
          <w:rFonts w:cs="Arial"/>
        </w:rPr>
      </w:pPr>
      <w:r w:rsidRPr="00664B7D">
        <w:t>Ocena formalno-merytoryczna</w:t>
      </w:r>
      <w:r w:rsidR="00780AA1" w:rsidRPr="00664B7D">
        <w:t xml:space="preserve"> wniosku zostanie przeprowadzona w terminie 59 dni </w:t>
      </w:r>
      <w:r w:rsidR="008D6571">
        <w:br/>
      </w:r>
      <w:r w:rsidR="00780AA1" w:rsidRPr="00664B7D">
        <w:t>od dnia złożenia wniosku.</w:t>
      </w:r>
      <w:r w:rsidR="00AE48CA" w:rsidRPr="00664B7D">
        <w:t xml:space="preserve"> Należy </w:t>
      </w:r>
      <w:r w:rsidR="00AE48CA" w:rsidRPr="00664B7D">
        <w:rPr>
          <w:rFonts w:eastAsia="Calibri"/>
        </w:rPr>
        <w:t>również pamiętać, że każda kolejna wersja wniosku będzie podlegała ponownej ocenie.</w:t>
      </w:r>
      <w:r w:rsidR="00F63044">
        <w:rPr>
          <w:rFonts w:eastAsia="Calibri"/>
        </w:rPr>
        <w:t xml:space="preserve"> </w:t>
      </w:r>
      <w:r w:rsidR="00F63044" w:rsidRPr="00F63044">
        <w:t>Wskazany termin ma charakter orientacyjny. W uzasadnionych przypadkach Przewodniczący KOP może wydłużyć ten termin. Powyższe nie wymaga zmiany Regulaminu wyboru projektów.</w:t>
      </w:r>
    </w:p>
    <w:p w14:paraId="12D61720" w14:textId="77777777" w:rsidR="00CE7AFA" w:rsidRPr="00664B7D" w:rsidRDefault="00CE7AFA" w:rsidP="00F15960">
      <w:pPr>
        <w:pStyle w:val="Akapitzlist"/>
        <w:numPr>
          <w:ilvl w:val="0"/>
          <w:numId w:val="32"/>
        </w:numPr>
        <w:spacing w:after="200"/>
        <w:ind w:left="426" w:hanging="426"/>
        <w:rPr>
          <w:rFonts w:eastAsia="Calibri" w:cs="Arial"/>
        </w:rPr>
      </w:pPr>
      <w:r w:rsidRPr="00664B7D">
        <w:rPr>
          <w:rFonts w:eastAsia="Times New Roman"/>
          <w:bCs/>
          <w:szCs w:val="20"/>
        </w:rPr>
        <w:t xml:space="preserve">Podczas oceny formalno-merytorycznej następuje sprawdzenie, czy wniosek o dofinansowanie projektu spełnia kryteria określone </w:t>
      </w:r>
      <w:r w:rsidRPr="00664B7D">
        <w:t>w załączniku nr 1 do niniejszego Regulaminu wyboru projektów</w:t>
      </w:r>
      <w:r w:rsidRPr="00664B7D">
        <w:rPr>
          <w:rFonts w:eastAsia="Times New Roman"/>
          <w:bCs/>
          <w:szCs w:val="20"/>
        </w:rPr>
        <w:t>:</w:t>
      </w:r>
    </w:p>
    <w:p w14:paraId="3A41F1C7" w14:textId="77777777" w:rsidR="00CE7AFA" w:rsidRPr="00664B7D" w:rsidRDefault="00CE7AFA" w:rsidP="00F15960">
      <w:pPr>
        <w:pStyle w:val="TreNum-K"/>
        <w:numPr>
          <w:ilvl w:val="1"/>
          <w:numId w:val="33"/>
        </w:numPr>
        <w:ind w:left="426" w:hanging="426"/>
        <w:rPr>
          <w:rFonts w:eastAsia="Times New Roman"/>
          <w:szCs w:val="20"/>
        </w:rPr>
      </w:pPr>
      <w:r w:rsidRPr="00664B7D">
        <w:rPr>
          <w:b/>
        </w:rPr>
        <w:t>Kryteria ogólne zerojedynkowe</w:t>
      </w:r>
      <w:r w:rsidRPr="00664B7D">
        <w:t xml:space="preserve"> – </w:t>
      </w:r>
      <w:r w:rsidRPr="00664B7D">
        <w:rPr>
          <w:rFonts w:eastAsia="Times New Roman"/>
        </w:rPr>
        <w:t>o</w:t>
      </w:r>
      <w:r w:rsidRPr="00664B7D">
        <w:rPr>
          <w:lang w:eastAsia="pl-PL"/>
        </w:rPr>
        <w:t>cena polega na przypisaniu im wartości logicznych „tak”, „nie”, „do negocjacji” (o ile przewidziano taką możliwość) albo stwierdzeniu, że kryterium nie dotyczy danego projektu.</w:t>
      </w:r>
      <w:r w:rsidRPr="00664B7D">
        <w:t xml:space="preserve"> </w:t>
      </w:r>
      <w:r w:rsidRPr="00664B7D">
        <w:rPr>
          <w:lang w:eastAsia="pl-PL"/>
        </w:rPr>
        <w:t>Mają one charakter obligatoryjny i ich spełnienie jest niezbędne do przyznania dofinansowania.</w:t>
      </w:r>
      <w:r w:rsidRPr="00664B7D">
        <w:rPr>
          <w:sz w:val="23"/>
          <w:szCs w:val="23"/>
          <w:lang w:eastAsia="pl-PL"/>
        </w:rPr>
        <w:t xml:space="preserve"> </w:t>
      </w:r>
    </w:p>
    <w:p w14:paraId="0EE54041" w14:textId="77777777" w:rsidR="00CE7AFA" w:rsidRPr="00664B7D" w:rsidRDefault="00CE7AFA" w:rsidP="00F15960">
      <w:pPr>
        <w:pStyle w:val="TreNum-K"/>
        <w:numPr>
          <w:ilvl w:val="1"/>
          <w:numId w:val="33"/>
        </w:numPr>
        <w:ind w:left="426" w:hanging="426"/>
        <w:rPr>
          <w:rFonts w:eastAsia="Times New Roman"/>
          <w:szCs w:val="20"/>
        </w:rPr>
      </w:pPr>
      <w:r w:rsidRPr="00664B7D">
        <w:rPr>
          <w:b/>
        </w:rPr>
        <w:t>Kryteria ogólne punktowe</w:t>
      </w:r>
      <w:r w:rsidRPr="00664B7D">
        <w:t xml:space="preserve"> - ocena</w:t>
      </w:r>
      <w:r w:rsidRPr="00664B7D">
        <w:rPr>
          <w:rFonts w:cstheme="minorHAnsi"/>
        </w:rPr>
        <w:t xml:space="preserve"> spełnienia kryterium polega na przypisaniu mu wartości logicznych „spełnia” lub „nie spełnia” co oznacza, że Wnioskodawca ma </w:t>
      </w:r>
      <w:r w:rsidRPr="00664B7D">
        <w:rPr>
          <w:rFonts w:cstheme="minorHAnsi"/>
        </w:rPr>
        <w:lastRenderedPageBreak/>
        <w:t>możliwość uzupełnienia/ poprawy projektu w zakresie spełniania kryterium. Mają one charakter obligatoryjny i ich spełnienie jest niezbędne do przyznania dofinansowania.</w:t>
      </w:r>
    </w:p>
    <w:p w14:paraId="0BDEB2BE" w14:textId="77777777" w:rsidR="00CE7AFA" w:rsidRPr="00664B7D" w:rsidRDefault="00CE7AFA" w:rsidP="00F15960">
      <w:pPr>
        <w:pStyle w:val="TreNum-K"/>
        <w:numPr>
          <w:ilvl w:val="1"/>
          <w:numId w:val="31"/>
        </w:numPr>
        <w:ind w:left="426" w:hanging="426"/>
        <w:rPr>
          <w:rFonts w:eastAsia="Calibri"/>
          <w:bCs/>
          <w:lang w:eastAsia="pl-PL"/>
        </w:rPr>
      </w:pPr>
      <w:r w:rsidRPr="00664B7D">
        <w:rPr>
          <w:b/>
        </w:rPr>
        <w:t>Kryteria specyficzne dostępu</w:t>
      </w:r>
      <w:r w:rsidRPr="00664B7D">
        <w:t xml:space="preserve"> </w:t>
      </w:r>
      <w:r w:rsidR="00D94F1A" w:rsidRPr="00664B7D">
        <w:t>–</w:t>
      </w:r>
      <w:r w:rsidRPr="00664B7D">
        <w:t xml:space="preserve"> </w:t>
      </w:r>
      <w:r w:rsidR="00D94F1A" w:rsidRPr="00664B7D">
        <w:t xml:space="preserve">ocena spełnienia kryterium polega na przypisaniu mu wartości logicznych „spełnia” lub „do uzupełnienia/poprawy” co oznacza, że Wnioskodawca ma możliwość uzupełnienia/poprawy projektu w zakresie spełnienia kryterium. </w:t>
      </w:r>
      <w:r w:rsidRPr="00664B7D">
        <w:rPr>
          <w:lang w:eastAsia="pl-PL"/>
        </w:rPr>
        <w:t>Mają one charakter obligatoryjny i ich spełnienie jest niezbędne do przyznania dofinansowania.</w:t>
      </w:r>
    </w:p>
    <w:p w14:paraId="797BCE2E" w14:textId="7014D228" w:rsidR="00D610E2" w:rsidRPr="00664B7D" w:rsidRDefault="00D610E2" w:rsidP="00F15960">
      <w:pPr>
        <w:pStyle w:val="Akapitzlist"/>
        <w:numPr>
          <w:ilvl w:val="0"/>
          <w:numId w:val="32"/>
        </w:numPr>
        <w:spacing w:after="200"/>
        <w:ind w:left="426" w:hanging="426"/>
        <w:rPr>
          <w:rFonts w:eastAsia="Calibri" w:cs="Arial"/>
        </w:rPr>
      </w:pPr>
      <w:r w:rsidRPr="00664B7D">
        <w:rPr>
          <w:rFonts w:eastAsia="Calibri" w:cs="Arial"/>
        </w:rPr>
        <w:t xml:space="preserve">W </w:t>
      </w:r>
      <w:r w:rsidRPr="00664B7D">
        <w:t xml:space="preserve">przypadku wystąpienia </w:t>
      </w:r>
      <w:r w:rsidRPr="00664B7D">
        <w:rPr>
          <w:bCs/>
        </w:rPr>
        <w:t>rozbieżności</w:t>
      </w:r>
      <w:r w:rsidRPr="00664B7D">
        <w:t xml:space="preserve"> w ocenie kryteriów ogólnych i/lub specyficznych </w:t>
      </w:r>
      <w:r w:rsidR="00CE3FCE" w:rsidRPr="00664B7D">
        <w:t xml:space="preserve">dostępu </w:t>
      </w:r>
      <w:r w:rsidRPr="00664B7D">
        <w:t>tj. w sytuacji, w której jeden z oceniających uznaje kryterium za spełnione, zaś drugi za niespełnione, Przewodniczący KOP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1DA1AC88" w14:textId="77777777" w:rsidR="00780AA1" w:rsidRPr="00664B7D" w:rsidRDefault="00780AA1" w:rsidP="00F15960">
      <w:pPr>
        <w:pStyle w:val="Akapitzlist"/>
        <w:numPr>
          <w:ilvl w:val="0"/>
          <w:numId w:val="32"/>
        </w:numPr>
        <w:spacing w:after="200"/>
        <w:ind w:left="426" w:hanging="426"/>
        <w:rPr>
          <w:rFonts w:eastAsia="Calibri" w:cs="Arial"/>
        </w:rPr>
      </w:pPr>
      <w:r w:rsidRPr="00664B7D">
        <w:rPr>
          <w:lang w:eastAsia="pl-PL"/>
        </w:rPr>
        <w:t xml:space="preserve">W przypadku stwierdzenia we wniosku o dofinansowanie oczywistej omyłki pisarskiej lub rachunkowej, ION może wezwać Wnioskodawców drogą elektroniczną (za pośrednictwem e-mail albo systemu SOWA EFS) do uzupełnienia lub poprawienia wniosku, o ile zmiany/poprawki mają charakter formalny. Wnioskodawca uzupełnia lub poprawia oczywistą omyłkę pisarską lub rachunkową we wniosku o dofinansowanie w terminie 3 dni. Wskazany termin liczy się od dnia następującego po dniu przekazania wezwania Wnioskodawcy. </w:t>
      </w:r>
      <w:bookmarkStart w:id="54" w:name="_Hlk133399498"/>
      <w:r w:rsidRPr="00664B7D">
        <w:rPr>
          <w:lang w:eastAsia="pl-PL"/>
        </w:rPr>
        <w:t>Jeśli Wnioskodawca nie uzupełni lub nie poprawi oczywistej omyłki pisarskiej lub rachunkowej we wniosku w wyznaczonym terminie, albo zrobi to niezgodnie z zakresem określonym w wezwaniu, ION ocenia wniosek na podstawie wersji, która została przekazana do uzupełnienia lub poprawienia</w:t>
      </w:r>
      <w:bookmarkEnd w:id="54"/>
      <w:r w:rsidRPr="00664B7D">
        <w:rPr>
          <w:lang w:eastAsia="pl-PL"/>
        </w:rPr>
        <w:t>. ION może również poprawić oczywistą omyłkę pisarską lub rachunkową we wniosku z urzędu, informując o </w:t>
      </w:r>
      <w:r w:rsidR="00AE48CA" w:rsidRPr="00664B7D">
        <w:rPr>
          <w:lang w:eastAsia="pl-PL"/>
        </w:rPr>
        <w:t>tym Wnioskodawcę.</w:t>
      </w:r>
    </w:p>
    <w:p w14:paraId="5E648D95" w14:textId="6FE955A4" w:rsidR="00CF73D4" w:rsidRPr="00664B7D" w:rsidRDefault="00780AA1" w:rsidP="00F15960">
      <w:pPr>
        <w:pStyle w:val="Akapitzlist"/>
        <w:numPr>
          <w:ilvl w:val="0"/>
          <w:numId w:val="32"/>
        </w:numPr>
        <w:spacing w:after="200"/>
        <w:ind w:left="426" w:hanging="426"/>
        <w:rPr>
          <w:rFonts w:eastAsia="Calibri" w:cs="Arial"/>
        </w:rPr>
      </w:pPr>
      <w:r w:rsidRPr="00664B7D">
        <w:t>W ocenie kryteriów ogólnych oraz specyficznych</w:t>
      </w:r>
      <w:r w:rsidR="00F97DC5" w:rsidRPr="00664B7D">
        <w:t xml:space="preserve"> dostępu</w:t>
      </w:r>
      <w:r w:rsidRPr="00664B7D">
        <w:t xml:space="preserve"> dopuszcza się możliwość uzupełnienia lub poprawienia wniosku o dofinansowanie projektu w części dotyczącej spełniania danego </w:t>
      </w:r>
      <w:r w:rsidR="00AF499A" w:rsidRPr="00664B7D">
        <w:t>kryterium w zakresie wskazanym w KOF-M</w:t>
      </w:r>
      <w:r w:rsidR="00F102A5" w:rsidRPr="00664B7D">
        <w:t>, jeśli wskazano taką możliwość w opisie znaczenia danego kryterium</w:t>
      </w:r>
      <w:r w:rsidRPr="00664B7D">
        <w:t xml:space="preserve">. Informacja o tym, co będzie podlegało możliwości uzupełnienia lub poprawy, jest zawarta w </w:t>
      </w:r>
      <w:r w:rsidR="00AE48CA" w:rsidRPr="00664B7D">
        <w:t>zał. nr 1 do Regulaminu</w:t>
      </w:r>
      <w:r w:rsidRPr="00664B7D">
        <w:t xml:space="preserve"> wyboru projektów w opisie poszczególnych kryteriów </w:t>
      </w:r>
      <w:r w:rsidR="00AE48CA" w:rsidRPr="00664B7D">
        <w:t>ogólnych i specyficznych</w:t>
      </w:r>
      <w:r w:rsidR="005B100E" w:rsidRPr="00664B7D">
        <w:t xml:space="preserve"> dostępu</w:t>
      </w:r>
      <w:r w:rsidRPr="00664B7D">
        <w:t>. Uzupełnienie lub poprawa</w:t>
      </w:r>
      <w:r w:rsidR="00AE48CA" w:rsidRPr="00664B7D">
        <w:t xml:space="preserve"> wniosku o dofinansowanie przez </w:t>
      </w:r>
      <w:r w:rsidR="003F4485" w:rsidRPr="00664B7D">
        <w:t>W</w:t>
      </w:r>
      <w:r w:rsidRPr="00664B7D">
        <w:t xml:space="preserve">nioskodawcę będzie możliwa w trakcie oceny formalno-merytorycznej. </w:t>
      </w:r>
    </w:p>
    <w:p w14:paraId="52988577" w14:textId="24852EB9" w:rsidR="00D94F1A" w:rsidRPr="00664B7D" w:rsidRDefault="00CF73D4" w:rsidP="00F15960">
      <w:pPr>
        <w:pStyle w:val="Akapitzlist"/>
        <w:numPr>
          <w:ilvl w:val="0"/>
          <w:numId w:val="32"/>
        </w:numPr>
        <w:spacing w:after="200"/>
        <w:ind w:left="426" w:hanging="426"/>
      </w:pPr>
      <w:r w:rsidRPr="00664B7D">
        <w:t>W przypad</w:t>
      </w:r>
      <w:r w:rsidR="00D94F1A" w:rsidRPr="00664B7D">
        <w:t xml:space="preserve">ku niespełnienia któregokolwiek z kryteriów formalnych lub merytorycznych, </w:t>
      </w:r>
      <w:r w:rsidR="00EE6487" w:rsidRPr="00664B7D">
        <w:t>W</w:t>
      </w:r>
      <w:r w:rsidR="00D94F1A" w:rsidRPr="00664B7D">
        <w:t>nioskodawca zostaje wezwany drogą elektroniczną</w:t>
      </w:r>
      <w:r w:rsidR="00FC71DA" w:rsidRPr="002C4706">
        <w:t>,</w:t>
      </w:r>
      <w:r w:rsidR="000C615A" w:rsidRPr="002C4706">
        <w:t xml:space="preserve"> tj.</w:t>
      </w:r>
      <w:r w:rsidR="000C615A" w:rsidRPr="00FC71DA">
        <w:t> za pośrednictwem systemu SOWA EFS</w:t>
      </w:r>
      <w:r w:rsidR="000C615A">
        <w:t>,</w:t>
      </w:r>
      <w:r w:rsidR="00D94F1A" w:rsidRPr="00664B7D">
        <w:t xml:space="preserve"> do uzupełnienia lub poprawienia wniosku o dofinansowanie w terminie </w:t>
      </w:r>
      <w:r w:rsidR="00D94F1A" w:rsidRPr="00664B7D">
        <w:lastRenderedPageBreak/>
        <w:t>wyznaczonym przez Przewodniczącego KOP.</w:t>
      </w:r>
      <w:r w:rsidR="0097251D">
        <w:t xml:space="preserve"> </w:t>
      </w:r>
      <w:r w:rsidR="0097251D" w:rsidRPr="0097251D">
        <w:t>Termin określony w wezwaniu liczy się od dnia następującego po dniu przekazania wezwania.</w:t>
      </w:r>
    </w:p>
    <w:p w14:paraId="4044F521" w14:textId="77777777" w:rsidR="00D94F1A" w:rsidRPr="00664B7D" w:rsidRDefault="00CF73D4" w:rsidP="00F15960">
      <w:pPr>
        <w:pStyle w:val="Akapitzlist"/>
        <w:numPr>
          <w:ilvl w:val="0"/>
          <w:numId w:val="32"/>
        </w:numPr>
        <w:spacing w:after="200"/>
        <w:ind w:left="426" w:hanging="426"/>
      </w:pPr>
      <w:r w:rsidRPr="00664B7D">
        <w:t>Ostateczna w</w:t>
      </w:r>
      <w:r w:rsidR="00D94F1A" w:rsidRPr="00664B7D">
        <w:t>ersja wniosku o dofinansowanie musi uzyskać pozytywną ocenę obu ekspertów, aby możliwe było rekomendowanie go do dofinansowania.</w:t>
      </w:r>
    </w:p>
    <w:p w14:paraId="7B13EE6D" w14:textId="77777777" w:rsidR="0097251D" w:rsidRPr="0097251D" w:rsidRDefault="000D5209" w:rsidP="00F15960">
      <w:pPr>
        <w:pStyle w:val="Akapitzlist"/>
        <w:numPr>
          <w:ilvl w:val="0"/>
          <w:numId w:val="32"/>
        </w:numPr>
        <w:spacing w:after="200"/>
        <w:ind w:left="426" w:hanging="426"/>
        <w:rPr>
          <w:rFonts w:eastAsia="Calibri" w:cs="Arial"/>
        </w:rPr>
      </w:pPr>
      <w:r w:rsidRPr="00664B7D">
        <w:t xml:space="preserve">Pozytywna ocena formalno-merytoryczna oznacza spełnienie przez projekt wszystkich kryteriów ogólnych i specyficznych </w:t>
      </w:r>
      <w:r w:rsidR="00AD09A1" w:rsidRPr="00664B7D">
        <w:t xml:space="preserve">dostępu </w:t>
      </w:r>
      <w:r w:rsidRPr="00664B7D">
        <w:t>i jest równoznaczna z zakończeniem etapu oceny formalno-merytorycznej.</w:t>
      </w:r>
    </w:p>
    <w:p w14:paraId="6460AB71" w14:textId="45022F91" w:rsidR="0097251D" w:rsidRPr="0097251D" w:rsidRDefault="00125EE4" w:rsidP="00F15960">
      <w:pPr>
        <w:pStyle w:val="Akapitzlist"/>
        <w:numPr>
          <w:ilvl w:val="0"/>
          <w:numId w:val="32"/>
        </w:numPr>
        <w:spacing w:after="200"/>
        <w:ind w:left="426" w:hanging="426"/>
        <w:rPr>
          <w:rFonts w:eastAsia="Calibri" w:cs="Arial"/>
        </w:rPr>
      </w:pPr>
      <w:r w:rsidRPr="0097251D">
        <w:rPr>
          <w:rFonts w:eastAsia="Calibri" w:cs="Arial"/>
        </w:rPr>
        <w:t xml:space="preserve">Wnioskodawca </w:t>
      </w:r>
      <w:r w:rsidR="00D86A7A" w:rsidRPr="0097251D">
        <w:rPr>
          <w:rFonts w:eastAsia="Calibri" w:cs="Arial"/>
        </w:rPr>
        <w:t>w ciągu 5 dni od zakończenia etapu oceny formalno-merytorycznej</w:t>
      </w:r>
      <w:r w:rsidR="0097251D" w:rsidRPr="0097251D">
        <w:rPr>
          <w:rFonts w:eastAsia="Calibri" w:cs="Arial"/>
        </w:rPr>
        <w:t xml:space="preserve"> zostaje wezwany </w:t>
      </w:r>
      <w:r w:rsidR="00440503">
        <w:rPr>
          <w:rFonts w:eastAsia="Calibri" w:cs="Arial"/>
        </w:rPr>
        <w:t>za pośrednictwem SOWA EFS</w:t>
      </w:r>
      <w:r w:rsidR="00440503" w:rsidRPr="0097251D">
        <w:rPr>
          <w:rFonts w:eastAsia="Calibri" w:cs="Arial"/>
        </w:rPr>
        <w:t xml:space="preserve"> </w:t>
      </w:r>
      <w:r w:rsidR="0097251D" w:rsidRPr="0097251D">
        <w:rPr>
          <w:rFonts w:eastAsia="Calibri" w:cs="Arial"/>
        </w:rPr>
        <w:t xml:space="preserve">do złożenia w formie papierowej załączników niezbędnych do podjęcia uchwały o skierowaniu wniosku do dofinansowania, w tym: </w:t>
      </w:r>
      <w:r w:rsidR="00D86A7A" w:rsidRPr="0097251D">
        <w:rPr>
          <w:rFonts w:eastAsia="Calibri" w:cs="Arial"/>
        </w:rPr>
        <w:t xml:space="preserve"> </w:t>
      </w:r>
    </w:p>
    <w:p w14:paraId="04E48E5A" w14:textId="26D56A6D" w:rsidR="00125EE4" w:rsidRPr="0097251D" w:rsidRDefault="00125EE4" w:rsidP="003B4896">
      <w:pPr>
        <w:pStyle w:val="Akapitzlist"/>
        <w:numPr>
          <w:ilvl w:val="1"/>
          <w:numId w:val="26"/>
        </w:numPr>
        <w:spacing w:after="200"/>
        <w:ind w:left="426" w:hanging="426"/>
        <w:rPr>
          <w:rFonts w:eastAsia="Calibri" w:cs="Arial"/>
        </w:rPr>
      </w:pPr>
      <w:r w:rsidRPr="0097251D">
        <w:rPr>
          <w:rFonts w:eastAsia="Calibri" w:cs="Arial"/>
        </w:rPr>
        <w:t>Pierwszego harmonogramu płatności,</w:t>
      </w:r>
    </w:p>
    <w:p w14:paraId="5CD10D4F" w14:textId="69BB1837" w:rsidR="00440503" w:rsidRPr="00624057" w:rsidRDefault="00125EE4" w:rsidP="003B4896">
      <w:pPr>
        <w:pStyle w:val="Akapitzlist"/>
        <w:numPr>
          <w:ilvl w:val="1"/>
          <w:numId w:val="26"/>
        </w:numPr>
        <w:spacing w:after="200"/>
        <w:ind w:left="426" w:hanging="426"/>
        <w:rPr>
          <w:rFonts w:eastAsia="Calibri" w:cs="Arial"/>
        </w:rPr>
      </w:pPr>
      <w:r w:rsidRPr="00664B7D">
        <w:rPr>
          <w:rFonts w:eastAsia="Calibri" w:cs="Arial"/>
        </w:rPr>
        <w:t>O</w:t>
      </w:r>
      <w:r w:rsidRPr="00664B7D">
        <w:rPr>
          <w:rFonts w:cstheme="minorHAnsi"/>
        </w:rPr>
        <w:t xml:space="preserve">świadczenia Wnioskodawcy, dotyczące aktualności danych zawartych we wniosku oraz załącznikach, dostarczonych w momencie złożenia wniosku i przed podjęciem </w:t>
      </w:r>
      <w:proofErr w:type="spellStart"/>
      <w:r w:rsidRPr="00664B7D">
        <w:rPr>
          <w:rFonts w:cstheme="minorHAnsi"/>
        </w:rPr>
        <w:t>Uchwały.</w:t>
      </w:r>
      <w:r w:rsidR="00440503" w:rsidRPr="00624057">
        <w:rPr>
          <w:rFonts w:cstheme="minorHAnsi"/>
        </w:rPr>
        <w:t>Termin</w:t>
      </w:r>
      <w:proofErr w:type="spellEnd"/>
      <w:r w:rsidR="00440503" w:rsidRPr="00624057">
        <w:rPr>
          <w:rFonts w:cstheme="minorHAnsi"/>
        </w:rPr>
        <w:t xml:space="preserve"> na złożenie załączników liczony jest od dnia następującego po wysłaniu wezwania.</w:t>
      </w:r>
    </w:p>
    <w:p w14:paraId="7CB653DA" w14:textId="745E25A2" w:rsidR="004A2141" w:rsidRPr="00664B7D" w:rsidRDefault="00AC2FBC" w:rsidP="00F15960">
      <w:pPr>
        <w:pStyle w:val="Akapitzlist"/>
        <w:numPr>
          <w:ilvl w:val="0"/>
          <w:numId w:val="32"/>
        </w:numPr>
        <w:spacing w:after="200"/>
        <w:ind w:left="426" w:hanging="426"/>
      </w:pPr>
      <w:r w:rsidRPr="00664B7D">
        <w:t>Wynikiem oceny formalno-merytorycznej jest</w:t>
      </w:r>
      <w:r w:rsidR="00020C5D" w:rsidRPr="00664B7D">
        <w:t xml:space="preserve"> decyzja o </w:t>
      </w:r>
      <w:r w:rsidRPr="00664B7D">
        <w:t xml:space="preserve">skierowaniu wniosku </w:t>
      </w:r>
      <w:r w:rsidR="002B6CAF">
        <w:br/>
      </w:r>
      <w:r w:rsidRPr="00664B7D">
        <w:t>do dofinansowania,</w:t>
      </w:r>
      <w:r w:rsidR="00020C5D" w:rsidRPr="00664B7D">
        <w:t xml:space="preserve"> podj</w:t>
      </w:r>
      <w:r w:rsidR="00125EE4" w:rsidRPr="00664B7D">
        <w:t>ę</w:t>
      </w:r>
      <w:r w:rsidR="00020C5D" w:rsidRPr="00664B7D">
        <w:t xml:space="preserve">ta przez Zarząd Województwa Warmińsko-Mazurskiego </w:t>
      </w:r>
      <w:r w:rsidR="002B6CAF">
        <w:br/>
      </w:r>
      <w:r w:rsidR="00020C5D" w:rsidRPr="00664B7D">
        <w:t>w drodze Uchwały.</w:t>
      </w:r>
      <w:r w:rsidR="00C202F9" w:rsidRPr="00664B7D">
        <w:t xml:space="preserve"> </w:t>
      </w:r>
    </w:p>
    <w:p w14:paraId="67ADDBCB" w14:textId="3EC0F803" w:rsidR="009142F8" w:rsidRDefault="00F816D9" w:rsidP="00F15960">
      <w:pPr>
        <w:pStyle w:val="Akapitzlist"/>
        <w:numPr>
          <w:ilvl w:val="0"/>
          <w:numId w:val="32"/>
        </w:numPr>
        <w:spacing w:after="200"/>
        <w:ind w:left="426" w:hanging="426"/>
      </w:pPr>
      <w:r w:rsidRPr="00664B7D">
        <w:t>Uchwała o</w:t>
      </w:r>
      <w:r w:rsidR="00FC7425" w:rsidRPr="00664B7D">
        <w:t xml:space="preserve"> skierowaniu wniosku do dofinansowania </w:t>
      </w:r>
      <w:r w:rsidR="004F45D1" w:rsidRPr="00664B7D">
        <w:t>podjęta przez Zarząd Województwa Warmińsko-Mazur</w:t>
      </w:r>
      <w:r w:rsidR="00864967" w:rsidRPr="00664B7D">
        <w:t>skiego skutkuje</w:t>
      </w:r>
      <w:r w:rsidR="0097251D" w:rsidRPr="0097251D">
        <w:t xml:space="preserve"> </w:t>
      </w:r>
      <w:r w:rsidR="0097251D">
        <w:t>zatwierdzeniem wyników oceny projektu, w tym</w:t>
      </w:r>
      <w:r w:rsidR="00864967" w:rsidRPr="00664B7D">
        <w:t xml:space="preserve"> zatwierdzeniem R</w:t>
      </w:r>
      <w:r w:rsidR="004F45D1" w:rsidRPr="00664B7D">
        <w:t xml:space="preserve">egulaminu przyznawania grantów </w:t>
      </w:r>
      <w:r w:rsidR="002B6CAF">
        <w:t xml:space="preserve">wraz załącznikami </w:t>
      </w:r>
      <w:r w:rsidR="004F45D1" w:rsidRPr="00664B7D">
        <w:t>w rozumieniu art.</w:t>
      </w:r>
      <w:r w:rsidR="00794C24" w:rsidRPr="00664B7D">
        <w:t xml:space="preserve"> </w:t>
      </w:r>
      <w:r w:rsidR="004F45D1" w:rsidRPr="00664B7D">
        <w:t>41 ust.10 ustawy wdrożeniowej</w:t>
      </w:r>
      <w:r w:rsidR="00FF5DCF" w:rsidRPr="00664B7D">
        <w:t>.</w:t>
      </w:r>
    </w:p>
    <w:p w14:paraId="0BF74F34" w14:textId="3A3CA4E0" w:rsidR="0097251D" w:rsidRDefault="0097251D" w:rsidP="00F15960">
      <w:pPr>
        <w:pStyle w:val="Akapitzlist"/>
        <w:numPr>
          <w:ilvl w:val="0"/>
          <w:numId w:val="32"/>
        </w:numPr>
        <w:spacing w:after="200"/>
        <w:ind w:left="426" w:hanging="426"/>
      </w:pPr>
      <w:r>
        <w:t xml:space="preserve">ION przekazuje niezwłocznie Wnioskodawcy w formie pisemnej lub w formie elektronicznej informację o zatwierdzonym wyniku oceny projektu oznaczającym wybór projektu do dofinansowania albo stanowiącym ocenę negatywną, o której mowa w art. 56 ust. 5 i 6 ustawy wdrożeniowej. Do doręczenia informacji stosuje się przepisy działu I rozdziału 8 </w:t>
      </w:r>
      <w:hyperlink r:id="rId15" w:anchor="/document/16784712?cm=DOCUMENT" w:history="1">
        <w:r w:rsidRPr="00D94F91">
          <w:rPr>
            <w:rStyle w:val="Hipercze"/>
            <w:color w:val="auto"/>
            <w:u w:val="none"/>
          </w:rPr>
          <w:t>ustawy</w:t>
        </w:r>
      </w:hyperlink>
      <w:r>
        <w:t xml:space="preserve"> z dnia 14 czerwca 1960 r. - Kodeks postępowania administracyjnego.</w:t>
      </w:r>
    </w:p>
    <w:p w14:paraId="1F98B20E" w14:textId="77777777" w:rsidR="0097251D" w:rsidRDefault="0097251D" w:rsidP="0097251D">
      <w:pPr>
        <w:pStyle w:val="Akapitzlist"/>
        <w:spacing w:after="200"/>
        <w:ind w:left="426"/>
      </w:pPr>
      <w:r>
        <w:t>W przypadku negatywnej oceny informacja, o której mowa w pkt 16 zawiera uzasadnienie wyniku oceny.</w:t>
      </w:r>
    </w:p>
    <w:p w14:paraId="3FF38194" w14:textId="77777777" w:rsidR="0097251D" w:rsidRDefault="0097251D" w:rsidP="00F15960">
      <w:pPr>
        <w:pStyle w:val="Akapitzlist"/>
        <w:numPr>
          <w:ilvl w:val="0"/>
          <w:numId w:val="32"/>
        </w:numPr>
        <w:spacing w:after="200"/>
        <w:ind w:left="426" w:hanging="426"/>
      </w:pPr>
      <w:r>
        <w:t xml:space="preserve">ION </w:t>
      </w:r>
      <w:r w:rsidRPr="006018F4">
        <w:t xml:space="preserve"> podaje do publicznej wiadomości na swojej stronie internetowej oraz na portalu informację o projek</w:t>
      </w:r>
      <w:r>
        <w:t>cie</w:t>
      </w:r>
      <w:r w:rsidRPr="006018F4">
        <w:t xml:space="preserve"> wybrany</w:t>
      </w:r>
      <w:r>
        <w:t xml:space="preserve">m </w:t>
      </w:r>
      <w:r w:rsidRPr="006018F4">
        <w:t xml:space="preserve">do dofinansowania </w:t>
      </w:r>
      <w:r>
        <w:t xml:space="preserve">lub </w:t>
      </w:r>
      <w:r w:rsidRPr="006018F4">
        <w:t>projek</w:t>
      </w:r>
      <w:r>
        <w:t>cie</w:t>
      </w:r>
      <w:r w:rsidRPr="006018F4">
        <w:t>, któr</w:t>
      </w:r>
      <w:r>
        <w:t>y</w:t>
      </w:r>
      <w:r w:rsidRPr="006018F4">
        <w:t xml:space="preserve"> otrzymał ocenę negatywną</w:t>
      </w:r>
      <w:r>
        <w:t xml:space="preserve">. </w:t>
      </w:r>
      <w:r w:rsidRPr="006018F4">
        <w:t>W przypadku projekt</w:t>
      </w:r>
      <w:r>
        <w:t xml:space="preserve">u </w:t>
      </w:r>
      <w:r w:rsidRPr="006018F4">
        <w:t>wybran</w:t>
      </w:r>
      <w:r>
        <w:t>ego</w:t>
      </w:r>
      <w:r w:rsidRPr="006018F4">
        <w:t xml:space="preserve"> do dofinansowania w informacji podaje się również wysokość przyznanej kwoty dofinansowania wynikającą z wyboru projektu do dofinansowania</w:t>
      </w:r>
      <w:r>
        <w:t>.</w:t>
      </w:r>
    </w:p>
    <w:p w14:paraId="67186128" w14:textId="7073774B" w:rsidR="00624057" w:rsidRPr="00624057" w:rsidRDefault="0097251D" w:rsidP="00F15960">
      <w:pPr>
        <w:pStyle w:val="Akapitzlist"/>
        <w:numPr>
          <w:ilvl w:val="0"/>
          <w:numId w:val="32"/>
        </w:numPr>
        <w:spacing w:after="200"/>
        <w:ind w:left="426" w:hanging="426"/>
      </w:pPr>
      <w:r w:rsidRPr="006018F4">
        <w:t xml:space="preserve">Zakończenie naboru oraz opublikowanie informacji, o której mowa w </w:t>
      </w:r>
      <w:r>
        <w:t xml:space="preserve">pkt 17 </w:t>
      </w:r>
      <w:r w:rsidRPr="006018F4">
        <w:t>oznacza zakończenie tego postępowania.</w:t>
      </w:r>
      <w:r w:rsidR="00624057">
        <w:br w:type="page"/>
      </w:r>
    </w:p>
    <w:p w14:paraId="06AE1E1D" w14:textId="21020F79" w:rsidR="00D6679F" w:rsidRPr="00664B7D" w:rsidRDefault="00D6679F" w:rsidP="00624057">
      <w:pPr>
        <w:pStyle w:val="Rozdzia-K"/>
      </w:pPr>
      <w:bookmarkStart w:id="55" w:name="_Toc145936736"/>
      <w:r w:rsidRPr="00664B7D">
        <w:lastRenderedPageBreak/>
        <w:t>Spis załączników</w:t>
      </w:r>
      <w:bookmarkEnd w:id="55"/>
      <w:r w:rsidR="001C34A8" w:rsidRPr="00664B7D">
        <w:t xml:space="preserve"> </w:t>
      </w:r>
    </w:p>
    <w:p w14:paraId="60C5F143" w14:textId="2EDB46E3" w:rsidR="00D83DB9" w:rsidRPr="00664B7D" w:rsidRDefault="00D83DB9" w:rsidP="001C3CAC">
      <w:pPr>
        <w:spacing w:after="0"/>
        <w:rPr>
          <w:rFonts w:cs="Arial"/>
        </w:rPr>
      </w:pPr>
      <w:r w:rsidRPr="00664B7D">
        <w:rPr>
          <w:rFonts w:cs="Arial"/>
          <w:b/>
        </w:rPr>
        <w:t>Załącznik 1.</w:t>
      </w:r>
      <w:r w:rsidRPr="00664B7D">
        <w:rPr>
          <w:rFonts w:cs="Arial"/>
        </w:rPr>
        <w:tab/>
        <w:t xml:space="preserve">Kryteria wyboru projektów w ramach naboru </w:t>
      </w:r>
      <w:r w:rsidR="00606045" w:rsidRPr="00664B7D">
        <w:rPr>
          <w:rFonts w:cs="Arial"/>
        </w:rPr>
        <w:t>FEWM.06.05-IZ.00-003/23;</w:t>
      </w:r>
    </w:p>
    <w:p w14:paraId="24C5700F" w14:textId="77777777" w:rsidR="00D83DB9" w:rsidRPr="00664B7D" w:rsidRDefault="00D83DB9" w:rsidP="001C3CAC">
      <w:pPr>
        <w:spacing w:after="0"/>
        <w:rPr>
          <w:rFonts w:cs="Arial"/>
        </w:rPr>
      </w:pPr>
      <w:r w:rsidRPr="00664B7D">
        <w:rPr>
          <w:rFonts w:cs="Arial"/>
          <w:b/>
        </w:rPr>
        <w:t>Załącznik 2.</w:t>
      </w:r>
      <w:bookmarkStart w:id="56" w:name="_Hlk137812349"/>
      <w:r w:rsidRPr="00664B7D">
        <w:rPr>
          <w:rFonts w:cs="Arial"/>
          <w:b/>
        </w:rPr>
        <w:tab/>
      </w:r>
      <w:bookmarkEnd w:id="56"/>
      <w:r w:rsidRPr="00664B7D">
        <w:rPr>
          <w:rFonts w:cs="Arial"/>
        </w:rPr>
        <w:t>Wzór wniosku o dofinansowanie projektu;</w:t>
      </w:r>
    </w:p>
    <w:p w14:paraId="4568A553" w14:textId="77777777" w:rsidR="00D83DB9" w:rsidRPr="00664B7D" w:rsidRDefault="00D83DB9" w:rsidP="001C3CAC">
      <w:pPr>
        <w:spacing w:after="0"/>
        <w:ind w:left="1418" w:hanging="1418"/>
        <w:rPr>
          <w:rFonts w:cs="Arial"/>
        </w:rPr>
      </w:pPr>
      <w:r w:rsidRPr="00664B7D">
        <w:rPr>
          <w:rFonts w:cs="Arial"/>
          <w:b/>
        </w:rPr>
        <w:t>Załącznik 3.</w:t>
      </w:r>
      <w:r w:rsidRPr="00664B7D">
        <w:rPr>
          <w:rFonts w:cs="Arial"/>
        </w:rPr>
        <w:tab/>
        <w:t>Instrukcja (merytoryczna) wypełniania wniosku o dofinansowanie projektu współfinansowanego z EFS+ w ramach Programu Fundusze Europejskie dla Warmii i Mazur na lata 2021-2027 (</w:t>
      </w:r>
      <w:proofErr w:type="spellStart"/>
      <w:r w:rsidRPr="00664B7D">
        <w:rPr>
          <w:rFonts w:cs="Arial"/>
        </w:rPr>
        <w:t>FEWiM</w:t>
      </w:r>
      <w:proofErr w:type="spellEnd"/>
      <w:r w:rsidRPr="00664B7D">
        <w:rPr>
          <w:rFonts w:cs="Arial"/>
        </w:rPr>
        <w:t xml:space="preserve"> 2021-2027); </w:t>
      </w:r>
    </w:p>
    <w:p w14:paraId="5A9B2BA1" w14:textId="77777777" w:rsidR="00D83DB9" w:rsidRPr="00664B7D" w:rsidRDefault="00D83DB9" w:rsidP="001C3CAC">
      <w:pPr>
        <w:spacing w:after="0"/>
        <w:ind w:left="1418" w:hanging="1418"/>
        <w:rPr>
          <w:rFonts w:cs="Arial"/>
          <w:b/>
        </w:rPr>
      </w:pPr>
      <w:r w:rsidRPr="00664B7D">
        <w:rPr>
          <w:rFonts w:cs="Arial"/>
          <w:b/>
        </w:rPr>
        <w:t>Załącznik 4.</w:t>
      </w:r>
      <w:r w:rsidRPr="00664B7D">
        <w:rPr>
          <w:rFonts w:cs="Arial"/>
        </w:rPr>
        <w:tab/>
        <w:t xml:space="preserve">Karta oceny formalno-merytorycznej wniosku o dofinansowanie projektu </w:t>
      </w:r>
      <w:r w:rsidR="00317D0C" w:rsidRPr="00664B7D">
        <w:rPr>
          <w:rFonts w:cs="Arial"/>
        </w:rPr>
        <w:t>nie</w:t>
      </w:r>
      <w:r w:rsidRPr="00664B7D">
        <w:rPr>
          <w:rFonts w:cs="Arial"/>
        </w:rPr>
        <w:t xml:space="preserve">konkurencyjnego </w:t>
      </w:r>
      <w:proofErr w:type="spellStart"/>
      <w:r w:rsidRPr="00664B7D">
        <w:rPr>
          <w:rFonts w:cs="Arial"/>
        </w:rPr>
        <w:t>FEWiM</w:t>
      </w:r>
      <w:proofErr w:type="spellEnd"/>
      <w:r w:rsidRPr="00664B7D">
        <w:rPr>
          <w:rFonts w:cs="Arial"/>
        </w:rPr>
        <w:t xml:space="preserve"> 2021-2027; </w:t>
      </w:r>
    </w:p>
    <w:p w14:paraId="0DE5AE76" w14:textId="77777777" w:rsidR="00D83DB9" w:rsidRPr="00664B7D" w:rsidRDefault="00D17690" w:rsidP="001C3CAC">
      <w:pPr>
        <w:spacing w:after="0"/>
        <w:ind w:left="1418" w:hanging="1418"/>
        <w:rPr>
          <w:rFonts w:cs="Arial"/>
          <w:lang w:eastAsia="pl-PL"/>
        </w:rPr>
      </w:pPr>
      <w:r w:rsidRPr="00664B7D">
        <w:rPr>
          <w:rFonts w:cs="Arial"/>
          <w:b/>
        </w:rPr>
        <w:t>Załącznik 5</w:t>
      </w:r>
      <w:r w:rsidR="00D83DB9" w:rsidRPr="00664B7D">
        <w:rPr>
          <w:rFonts w:cs="Arial"/>
          <w:b/>
        </w:rPr>
        <w:t>.</w:t>
      </w:r>
      <w:r w:rsidR="00D83DB9" w:rsidRPr="00664B7D">
        <w:rPr>
          <w:rFonts w:cs="Arial"/>
          <w:b/>
        </w:rPr>
        <w:tab/>
      </w:r>
      <w:r w:rsidR="00D83DB9" w:rsidRPr="00664B7D">
        <w:rPr>
          <w:rFonts w:cs="Arial"/>
          <w:lang w:eastAsia="pl-PL"/>
        </w:rPr>
        <w:t>Podstawowe informacje dotyczące uzyskiwania kwalifikacji w ramach</w:t>
      </w:r>
      <w:r w:rsidR="00D83DB9" w:rsidRPr="00664B7D">
        <w:rPr>
          <w:rFonts w:cs="Arial"/>
          <w:lang w:eastAsia="pl-PL"/>
        </w:rPr>
        <w:br/>
        <w:t>projektów współfinansowanych z EFS+;</w:t>
      </w:r>
    </w:p>
    <w:p w14:paraId="3F6298B8" w14:textId="77777777" w:rsidR="00D83DB9" w:rsidRPr="00664B7D" w:rsidRDefault="00D83DB9" w:rsidP="001C3CAC">
      <w:pPr>
        <w:spacing w:after="0"/>
        <w:ind w:left="1418" w:hanging="1418"/>
        <w:rPr>
          <w:rFonts w:cs="Arial"/>
          <w:bCs/>
          <w:lang w:eastAsia="pl-PL"/>
        </w:rPr>
      </w:pPr>
      <w:r w:rsidRPr="00664B7D">
        <w:rPr>
          <w:rFonts w:cs="Arial"/>
          <w:b/>
        </w:rPr>
        <w:t xml:space="preserve">Załącznik </w:t>
      </w:r>
      <w:r w:rsidR="00D17690" w:rsidRPr="00664B7D">
        <w:rPr>
          <w:rFonts w:cs="Arial"/>
          <w:b/>
        </w:rPr>
        <w:t>6</w:t>
      </w:r>
      <w:r w:rsidRPr="00664B7D">
        <w:rPr>
          <w:rFonts w:cs="Arial"/>
          <w:b/>
        </w:rPr>
        <w:t>.</w:t>
      </w:r>
      <w:r w:rsidR="00F53A30" w:rsidRPr="00664B7D">
        <w:rPr>
          <w:rFonts w:cs="Arial"/>
          <w:b/>
        </w:rPr>
        <w:t xml:space="preserve"> </w:t>
      </w:r>
      <w:r w:rsidR="00F53A30" w:rsidRPr="00664B7D">
        <w:rPr>
          <w:rFonts w:cs="Arial"/>
          <w:b/>
        </w:rPr>
        <w:tab/>
      </w:r>
      <w:r w:rsidRPr="00664B7D">
        <w:rPr>
          <w:rFonts w:cs="Arial"/>
          <w:bCs/>
        </w:rPr>
        <w:t>Klauzula informacyjna RODO.</w:t>
      </w:r>
    </w:p>
    <w:p w14:paraId="448998FE" w14:textId="77777777" w:rsidR="00D83DB9" w:rsidRPr="00664B7D" w:rsidRDefault="00D83DB9" w:rsidP="001C3CAC">
      <w:pPr>
        <w:spacing w:line="259" w:lineRule="auto"/>
        <w:rPr>
          <w:rFonts w:cs="Arial"/>
          <w:bCs/>
        </w:rPr>
      </w:pPr>
    </w:p>
    <w:p w14:paraId="6DBF336B" w14:textId="77777777" w:rsidR="00EF140B" w:rsidRPr="00664B7D" w:rsidRDefault="00EF140B" w:rsidP="001C3CAC">
      <w:pPr>
        <w:pStyle w:val="Nagwek-K"/>
      </w:pPr>
    </w:p>
    <w:p w14:paraId="5B248655" w14:textId="77777777" w:rsidR="00EF140B" w:rsidRPr="00664B7D" w:rsidRDefault="00EF140B" w:rsidP="001C3CAC">
      <w:pPr>
        <w:pStyle w:val="Nagwek-K"/>
      </w:pPr>
    </w:p>
    <w:p w14:paraId="23424B77" w14:textId="77777777" w:rsidR="00EF140B" w:rsidRPr="00664B7D" w:rsidRDefault="00EF140B" w:rsidP="001C3CAC">
      <w:pPr>
        <w:pStyle w:val="Nagwek-K"/>
      </w:pPr>
    </w:p>
    <w:p w14:paraId="4155CCE0" w14:textId="77777777" w:rsidR="00EF140B" w:rsidRPr="00664B7D" w:rsidRDefault="00EF140B" w:rsidP="001C3CAC">
      <w:pPr>
        <w:pStyle w:val="Nagwek-K"/>
      </w:pPr>
    </w:p>
    <w:p w14:paraId="13A19381" w14:textId="77777777" w:rsidR="005A05BF" w:rsidRPr="00664B7D" w:rsidRDefault="005A05BF" w:rsidP="001C3CAC">
      <w:pPr>
        <w:spacing w:line="259" w:lineRule="auto"/>
        <w:rPr>
          <w:rStyle w:val="PodtytuZnak"/>
        </w:rPr>
      </w:pPr>
    </w:p>
    <w:sectPr w:rsidR="005A05BF" w:rsidRPr="00664B7D" w:rsidSect="005A05BF">
      <w:footerReference w:type="default" r:id="rId16"/>
      <w:head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1AAD1" w14:textId="77777777" w:rsidR="00F15960" w:rsidRDefault="00F15960" w:rsidP="00BD17DC">
      <w:pPr>
        <w:spacing w:after="0" w:line="240" w:lineRule="auto"/>
      </w:pPr>
      <w:r>
        <w:separator/>
      </w:r>
    </w:p>
  </w:endnote>
  <w:endnote w:type="continuationSeparator" w:id="0">
    <w:p w14:paraId="2669E646" w14:textId="77777777" w:rsidR="00F15960" w:rsidRDefault="00F15960"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5D76CBF5" w14:textId="6D6B8DF5" w:rsidR="006C369E" w:rsidRPr="005A05BF" w:rsidRDefault="006C369E">
            <w:pPr>
              <w:pStyle w:val="Stopka"/>
              <w:jc w:val="right"/>
            </w:pPr>
            <w:r w:rsidRPr="005A05BF">
              <w:t xml:space="preserve">str. </w:t>
            </w:r>
            <w:r>
              <w:fldChar w:fldCharType="begin"/>
            </w:r>
            <w:r>
              <w:instrText>PAGE</w:instrText>
            </w:r>
            <w:r>
              <w:fldChar w:fldCharType="separate"/>
            </w:r>
            <w:r w:rsidR="009F76B6">
              <w:rPr>
                <w:noProof/>
              </w:rPr>
              <w:t>36</w:t>
            </w:r>
            <w:r>
              <w:rPr>
                <w:noProof/>
              </w:rPr>
              <w:fldChar w:fldCharType="end"/>
            </w:r>
            <w:r w:rsidRPr="005A05BF">
              <w:t xml:space="preserve"> z </w:t>
            </w:r>
            <w:r>
              <w:fldChar w:fldCharType="begin"/>
            </w:r>
            <w:r>
              <w:instrText>NUMPAGES</w:instrText>
            </w:r>
            <w:r>
              <w:fldChar w:fldCharType="separate"/>
            </w:r>
            <w:r w:rsidR="009F76B6">
              <w:rPr>
                <w:noProof/>
              </w:rPr>
              <w:t>54</w:t>
            </w:r>
            <w:r>
              <w:rPr>
                <w:noProof/>
              </w:rPr>
              <w:fldChar w:fldCharType="end"/>
            </w:r>
          </w:p>
        </w:sdtContent>
      </w:sdt>
    </w:sdtContent>
  </w:sdt>
  <w:p w14:paraId="317B5B9C" w14:textId="77777777" w:rsidR="006C369E" w:rsidRPr="005A05BF" w:rsidRDefault="006C36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5B16" w14:textId="77777777" w:rsidR="00F15960" w:rsidRDefault="00F15960" w:rsidP="00BD17DC">
      <w:pPr>
        <w:spacing w:after="0" w:line="240" w:lineRule="auto"/>
      </w:pPr>
      <w:r>
        <w:separator/>
      </w:r>
    </w:p>
  </w:footnote>
  <w:footnote w:type="continuationSeparator" w:id="0">
    <w:p w14:paraId="3C52EACF" w14:textId="77777777" w:rsidR="00F15960" w:rsidRDefault="00F15960" w:rsidP="00BD17DC">
      <w:pPr>
        <w:spacing w:after="0" w:line="240" w:lineRule="auto"/>
      </w:pPr>
      <w:r>
        <w:continuationSeparator/>
      </w:r>
    </w:p>
  </w:footnote>
  <w:footnote w:id="1">
    <w:p w14:paraId="18CBBAA8" w14:textId="77777777" w:rsidR="006C369E" w:rsidRPr="00093836" w:rsidRDefault="006C369E" w:rsidP="00A50A66">
      <w:pPr>
        <w:pStyle w:val="Tekstprzypisudolnego"/>
        <w:ind w:right="1132"/>
      </w:pPr>
      <w:r w:rsidRPr="00590309">
        <w:rPr>
          <w:rStyle w:val="Odwoanieprzypisudolnego"/>
          <w:rFonts w:cs="Arial"/>
          <w:szCs w:val="16"/>
        </w:rPr>
        <w:footnoteRef/>
      </w:r>
      <w:r>
        <w:rPr>
          <w:rFonts w:cs="Arial"/>
          <w:sz w:val="16"/>
          <w:szCs w:val="16"/>
        </w:rPr>
        <w:t xml:space="preserve"> </w:t>
      </w:r>
      <w:r w:rsidRPr="00093836">
        <w:rPr>
          <w:rFonts w:ascii="Arial" w:hAnsi="Arial" w:cs="Arial"/>
        </w:rPr>
        <w:t>W rozumieniu art. 5 ustawy wdrożeniowej</w:t>
      </w:r>
      <w:r>
        <w:rPr>
          <w:rFonts w:ascii="Arial" w:hAnsi="Arial" w:cs="Arial"/>
        </w:rPr>
        <w:t>.</w:t>
      </w:r>
    </w:p>
  </w:footnote>
  <w:footnote w:id="2">
    <w:p w14:paraId="5AC47AF9" w14:textId="77777777" w:rsidR="006C369E" w:rsidRPr="00DF02E4" w:rsidRDefault="006C369E" w:rsidP="00C640C0">
      <w:pPr>
        <w:pStyle w:val="Tekstprzypisudolnego"/>
        <w:jc w:val="left"/>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r w:rsidRPr="00675216">
        <w:rPr>
          <w:rFonts w:ascii="Arial" w:hAnsi="Arial" w:cs="Arial"/>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30B4" w14:textId="7EAFAE3B" w:rsidR="006C369E" w:rsidRDefault="006C369E">
    <w:pPr>
      <w:pStyle w:val="Nagwek"/>
    </w:pPr>
    <w:r w:rsidRPr="00737D1D">
      <w:rPr>
        <w:rFonts w:cs="Arial"/>
        <w:noProof/>
        <w:lang w:eastAsia="pl-PL"/>
      </w:rPr>
      <w:drawing>
        <wp:inline distT="0" distB="0" distL="0" distR="0" wp14:anchorId="34BC1940" wp14:editId="2F330C60">
          <wp:extent cx="5760720" cy="6223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22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3F9"/>
    <w:multiLevelType w:val="multilevel"/>
    <w:tmpl w:val="17A80646"/>
    <w:name w:val="NumeracjaTreść-K2"/>
    <w:numStyleLink w:val="NumeracjaTre-K"/>
  </w:abstractNum>
  <w:abstractNum w:abstractNumId="1" w15:restartNumberingAfterBreak="0">
    <w:nsid w:val="0B9C122B"/>
    <w:multiLevelType w:val="multilevel"/>
    <w:tmpl w:val="B7C0D572"/>
    <w:lvl w:ilvl="0">
      <w:start w:val="8"/>
      <w:numFmt w:val="decimal"/>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2" w15:restartNumberingAfterBreak="0">
    <w:nsid w:val="0C152B69"/>
    <w:multiLevelType w:val="multilevel"/>
    <w:tmpl w:val="2AA2E39A"/>
    <w:lvl w:ilvl="0">
      <w:start w:val="11"/>
      <w:numFmt w:val="decimal"/>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3" w15:restartNumberingAfterBreak="0">
    <w:nsid w:val="0F3812E7"/>
    <w:multiLevelType w:val="hybridMultilevel"/>
    <w:tmpl w:val="BBD6A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FDA556C"/>
    <w:multiLevelType w:val="multilevel"/>
    <w:tmpl w:val="17A80646"/>
    <w:lvl w:ilvl="0">
      <w:start w:val="1"/>
      <w:numFmt w:val="decimal"/>
      <w:lvlText w:val="%1."/>
      <w:lvlJc w:val="left"/>
      <w:pPr>
        <w:ind w:left="425" w:hanging="425"/>
      </w:pPr>
      <w:rPr>
        <w:rFonts w:ascii="Arial" w:hAnsi="Arial" w:hint="default"/>
        <w:b w:val="0"/>
      </w:rPr>
    </w:lvl>
    <w:lvl w:ilvl="1">
      <w:start w:val="1"/>
      <w:numFmt w:val="lowerLetter"/>
      <w:lvlText w:val="%2)"/>
      <w:lvlJc w:val="left"/>
      <w:pPr>
        <w:ind w:left="425" w:hanging="425"/>
      </w:pPr>
      <w:rPr>
        <w:rFonts w:ascii="Arial" w:hAnsi="Arial" w:cs="Times New Roman" w:hint="default"/>
        <w:color w:val="auto"/>
      </w:rPr>
    </w:lvl>
    <w:lvl w:ilvl="2">
      <w:start w:val="1"/>
      <w:numFmt w:val="bullet"/>
      <w:lvlText w:val=""/>
      <w:lvlJc w:val="left"/>
      <w:pPr>
        <w:ind w:left="425" w:hanging="425"/>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6"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945CEB"/>
    <w:multiLevelType w:val="multilevel"/>
    <w:tmpl w:val="4F44655E"/>
    <w:lvl w:ilvl="0">
      <w:start w:val="5"/>
      <w:numFmt w:val="decimal"/>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9" w15:restartNumberingAfterBreak="0">
    <w:nsid w:val="13CE732F"/>
    <w:multiLevelType w:val="hybridMultilevel"/>
    <w:tmpl w:val="25F6BBE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0C17BE"/>
    <w:multiLevelType w:val="hybridMultilevel"/>
    <w:tmpl w:val="B82615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DA4BD8"/>
    <w:multiLevelType w:val="hybridMultilevel"/>
    <w:tmpl w:val="C0AE6A0C"/>
    <w:lvl w:ilvl="0" w:tplc="CFA44C4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3" w15:restartNumberingAfterBreak="0">
    <w:nsid w:val="18C57D37"/>
    <w:multiLevelType w:val="hybridMultilevel"/>
    <w:tmpl w:val="42B46364"/>
    <w:lvl w:ilvl="0" w:tplc="04150001">
      <w:start w:val="1"/>
      <w:numFmt w:val="bullet"/>
      <w:lvlText w:val=""/>
      <w:lvlJc w:val="left"/>
      <w:pPr>
        <w:ind w:left="922" w:hanging="360"/>
      </w:pPr>
      <w:rPr>
        <w:rFonts w:ascii="Symbol" w:hAnsi="Symbol" w:hint="default"/>
      </w:rPr>
    </w:lvl>
    <w:lvl w:ilvl="1" w:tplc="04150003" w:tentative="1">
      <w:start w:val="1"/>
      <w:numFmt w:val="bullet"/>
      <w:lvlText w:val="o"/>
      <w:lvlJc w:val="left"/>
      <w:pPr>
        <w:ind w:left="1642" w:hanging="360"/>
      </w:pPr>
      <w:rPr>
        <w:rFonts w:ascii="Courier New" w:hAnsi="Courier New" w:cs="Courier New" w:hint="default"/>
      </w:rPr>
    </w:lvl>
    <w:lvl w:ilvl="2" w:tplc="04150005" w:tentative="1">
      <w:start w:val="1"/>
      <w:numFmt w:val="bullet"/>
      <w:lvlText w:val=""/>
      <w:lvlJc w:val="left"/>
      <w:pPr>
        <w:ind w:left="2362" w:hanging="360"/>
      </w:pPr>
      <w:rPr>
        <w:rFonts w:ascii="Wingdings" w:hAnsi="Wingdings" w:hint="default"/>
      </w:rPr>
    </w:lvl>
    <w:lvl w:ilvl="3" w:tplc="04150001" w:tentative="1">
      <w:start w:val="1"/>
      <w:numFmt w:val="bullet"/>
      <w:lvlText w:val=""/>
      <w:lvlJc w:val="left"/>
      <w:pPr>
        <w:ind w:left="3082" w:hanging="360"/>
      </w:pPr>
      <w:rPr>
        <w:rFonts w:ascii="Symbol" w:hAnsi="Symbol" w:hint="default"/>
      </w:rPr>
    </w:lvl>
    <w:lvl w:ilvl="4" w:tplc="04150003" w:tentative="1">
      <w:start w:val="1"/>
      <w:numFmt w:val="bullet"/>
      <w:lvlText w:val="o"/>
      <w:lvlJc w:val="left"/>
      <w:pPr>
        <w:ind w:left="3802" w:hanging="360"/>
      </w:pPr>
      <w:rPr>
        <w:rFonts w:ascii="Courier New" w:hAnsi="Courier New" w:cs="Courier New" w:hint="default"/>
      </w:rPr>
    </w:lvl>
    <w:lvl w:ilvl="5" w:tplc="04150005" w:tentative="1">
      <w:start w:val="1"/>
      <w:numFmt w:val="bullet"/>
      <w:lvlText w:val=""/>
      <w:lvlJc w:val="left"/>
      <w:pPr>
        <w:ind w:left="4522" w:hanging="360"/>
      </w:pPr>
      <w:rPr>
        <w:rFonts w:ascii="Wingdings" w:hAnsi="Wingdings" w:hint="default"/>
      </w:rPr>
    </w:lvl>
    <w:lvl w:ilvl="6" w:tplc="04150001" w:tentative="1">
      <w:start w:val="1"/>
      <w:numFmt w:val="bullet"/>
      <w:lvlText w:val=""/>
      <w:lvlJc w:val="left"/>
      <w:pPr>
        <w:ind w:left="5242" w:hanging="360"/>
      </w:pPr>
      <w:rPr>
        <w:rFonts w:ascii="Symbol" w:hAnsi="Symbol" w:hint="default"/>
      </w:rPr>
    </w:lvl>
    <w:lvl w:ilvl="7" w:tplc="04150003" w:tentative="1">
      <w:start w:val="1"/>
      <w:numFmt w:val="bullet"/>
      <w:lvlText w:val="o"/>
      <w:lvlJc w:val="left"/>
      <w:pPr>
        <w:ind w:left="5962" w:hanging="360"/>
      </w:pPr>
      <w:rPr>
        <w:rFonts w:ascii="Courier New" w:hAnsi="Courier New" w:cs="Courier New" w:hint="default"/>
      </w:rPr>
    </w:lvl>
    <w:lvl w:ilvl="8" w:tplc="04150005" w:tentative="1">
      <w:start w:val="1"/>
      <w:numFmt w:val="bullet"/>
      <w:lvlText w:val=""/>
      <w:lvlJc w:val="left"/>
      <w:pPr>
        <w:ind w:left="6682" w:hanging="360"/>
      </w:pPr>
      <w:rPr>
        <w:rFonts w:ascii="Wingdings" w:hAnsi="Wingdings" w:hint="default"/>
      </w:rPr>
    </w:lvl>
  </w:abstractNum>
  <w:abstractNum w:abstractNumId="14" w15:restartNumberingAfterBreak="0">
    <w:nsid w:val="1C040BA0"/>
    <w:multiLevelType w:val="hybridMultilevel"/>
    <w:tmpl w:val="74126FA0"/>
    <w:lvl w:ilvl="0" w:tplc="04150001">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5" w15:restartNumberingAfterBreak="0">
    <w:nsid w:val="1C883E2F"/>
    <w:multiLevelType w:val="hybridMultilevel"/>
    <w:tmpl w:val="68002B98"/>
    <w:lvl w:ilvl="0" w:tplc="04150005">
      <w:start w:val="1"/>
      <w:numFmt w:val="decimal"/>
      <w:lvlText w:val="%1."/>
      <w:lvlJc w:val="left"/>
      <w:pPr>
        <w:ind w:left="360"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0BA3885"/>
    <w:multiLevelType w:val="hybridMultilevel"/>
    <w:tmpl w:val="AC64EF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0B6C43"/>
    <w:multiLevelType w:val="multilevel"/>
    <w:tmpl w:val="17A80646"/>
    <w:lvl w:ilvl="0">
      <w:start w:val="1"/>
      <w:numFmt w:val="decimal"/>
      <w:lvlText w:val="%1."/>
      <w:lvlJc w:val="left"/>
      <w:pPr>
        <w:ind w:left="425" w:hanging="425"/>
      </w:pPr>
      <w:rPr>
        <w:rFonts w:ascii="Arial" w:hAnsi="Arial" w:hint="default"/>
        <w:b w:val="0"/>
      </w:rPr>
    </w:lvl>
    <w:lvl w:ilvl="1">
      <w:start w:val="1"/>
      <w:numFmt w:val="lowerLetter"/>
      <w:lvlText w:val="%2)"/>
      <w:lvlJc w:val="left"/>
      <w:pPr>
        <w:ind w:left="425" w:hanging="425"/>
      </w:pPr>
      <w:rPr>
        <w:rFonts w:ascii="Arial" w:hAnsi="Arial" w:cs="Times New Roman" w:hint="default"/>
        <w:color w:val="auto"/>
      </w:rPr>
    </w:lvl>
    <w:lvl w:ilvl="2">
      <w:start w:val="1"/>
      <w:numFmt w:val="bullet"/>
      <w:lvlText w:val=""/>
      <w:lvlJc w:val="left"/>
      <w:pPr>
        <w:ind w:left="425" w:hanging="425"/>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18" w15:restartNumberingAfterBreak="0">
    <w:nsid w:val="212701D4"/>
    <w:multiLevelType w:val="multilevel"/>
    <w:tmpl w:val="F7B6B29C"/>
    <w:name w:val="Numeracja-K"/>
    <w:numStyleLink w:val="Numeracja-K"/>
  </w:abstractNum>
  <w:abstractNum w:abstractNumId="19" w15:restartNumberingAfterBreak="0">
    <w:nsid w:val="23BF15DC"/>
    <w:multiLevelType w:val="multilevel"/>
    <w:tmpl w:val="17AA4D42"/>
    <w:lvl w:ilvl="0">
      <w:start w:val="6"/>
      <w:numFmt w:val="decimal"/>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20" w15:restartNumberingAfterBreak="0">
    <w:nsid w:val="24CC628E"/>
    <w:multiLevelType w:val="singleLevel"/>
    <w:tmpl w:val="0415000F"/>
    <w:name w:val="NumeracjaTreści-K122"/>
    <w:lvl w:ilvl="0">
      <w:start w:val="1"/>
      <w:numFmt w:val="decimal"/>
      <w:lvlText w:val="%1."/>
      <w:lvlJc w:val="left"/>
      <w:pPr>
        <w:ind w:left="720" w:hanging="360"/>
      </w:pPr>
      <w:rPr>
        <w:rFonts w:hint="default"/>
        <w:color w:val="auto"/>
      </w:rPr>
    </w:lvl>
  </w:abstractNum>
  <w:abstractNum w:abstractNumId="21" w15:restartNumberingAfterBreak="0">
    <w:nsid w:val="281602D7"/>
    <w:multiLevelType w:val="multilevel"/>
    <w:tmpl w:val="17A80646"/>
    <w:numStyleLink w:val="NumeracjaTre-K"/>
  </w:abstractNum>
  <w:abstractNum w:abstractNumId="22" w15:restartNumberingAfterBreak="0">
    <w:nsid w:val="28FA47FE"/>
    <w:multiLevelType w:val="hybridMultilevel"/>
    <w:tmpl w:val="EDC64D60"/>
    <w:styleLink w:val="NumeracjaTre-K4"/>
    <w:lvl w:ilvl="0" w:tplc="04150001">
      <w:start w:val="1"/>
      <w:numFmt w:val="decimal"/>
      <w:pStyle w:val="Styl2"/>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3" w15:restartNumberingAfterBreak="0">
    <w:nsid w:val="28FE423D"/>
    <w:multiLevelType w:val="hybridMultilevel"/>
    <w:tmpl w:val="A0649ABE"/>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DF0156C"/>
    <w:multiLevelType w:val="hybridMultilevel"/>
    <w:tmpl w:val="2B8E4716"/>
    <w:lvl w:ilvl="0" w:tplc="0415000F">
      <w:start w:val="1"/>
      <w:numFmt w:val="bullet"/>
      <w:lvlText w:val=""/>
      <w:lvlJc w:val="left"/>
      <w:pPr>
        <w:ind w:left="1287" w:hanging="360"/>
      </w:pPr>
      <w:rPr>
        <w:rFonts w:ascii="Wingdings" w:hAnsi="Wingdings" w:hint="default"/>
      </w:rPr>
    </w:lvl>
    <w:lvl w:ilvl="1" w:tplc="04150019" w:tentative="1">
      <w:start w:val="1"/>
      <w:numFmt w:val="bullet"/>
      <w:lvlText w:val="o"/>
      <w:lvlJc w:val="left"/>
      <w:pPr>
        <w:ind w:left="2007" w:hanging="360"/>
      </w:pPr>
      <w:rPr>
        <w:rFonts w:ascii="Courier New" w:hAnsi="Courier New" w:cs="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cs="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cs="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25" w15:restartNumberingAfterBreak="0">
    <w:nsid w:val="2DFF555F"/>
    <w:multiLevelType w:val="hybridMultilevel"/>
    <w:tmpl w:val="3D0699C0"/>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25E7F68"/>
    <w:multiLevelType w:val="multilevel"/>
    <w:tmpl w:val="17A80646"/>
    <w:name w:val="NumeracjaTreść-K"/>
    <w:numStyleLink w:val="NumeracjaTre-K"/>
  </w:abstractNum>
  <w:abstractNum w:abstractNumId="27" w15:restartNumberingAfterBreak="0">
    <w:nsid w:val="367D23C1"/>
    <w:multiLevelType w:val="hybridMultilevel"/>
    <w:tmpl w:val="6A42E19C"/>
    <w:lvl w:ilvl="0" w:tplc="607CC97E">
      <w:start w:val="1"/>
      <w:numFmt w:val="bullet"/>
      <w:lvlText w:val=""/>
      <w:lvlJc w:val="left"/>
      <w:pPr>
        <w:ind w:left="360" w:hanging="360"/>
      </w:pPr>
      <w:rPr>
        <w:rFonts w:ascii="Symbol" w:hAnsi="Symbol" w:hint="default"/>
      </w:rPr>
    </w:lvl>
    <w:lvl w:ilvl="1" w:tplc="76785914" w:tentative="1">
      <w:start w:val="1"/>
      <w:numFmt w:val="bullet"/>
      <w:lvlText w:val="o"/>
      <w:lvlJc w:val="left"/>
      <w:pPr>
        <w:ind w:left="1080" w:hanging="360"/>
      </w:pPr>
      <w:rPr>
        <w:rFonts w:ascii="Courier New" w:hAnsi="Courier New" w:hint="default"/>
      </w:rPr>
    </w:lvl>
    <w:lvl w:ilvl="2" w:tplc="B08C88E6" w:tentative="1">
      <w:start w:val="1"/>
      <w:numFmt w:val="bullet"/>
      <w:lvlText w:val=""/>
      <w:lvlJc w:val="left"/>
      <w:pPr>
        <w:ind w:left="1800" w:hanging="360"/>
      </w:pPr>
      <w:rPr>
        <w:rFonts w:ascii="Wingdings" w:hAnsi="Wingdings" w:hint="default"/>
      </w:rPr>
    </w:lvl>
    <w:lvl w:ilvl="3" w:tplc="7C1CD756" w:tentative="1">
      <w:start w:val="1"/>
      <w:numFmt w:val="bullet"/>
      <w:lvlText w:val=""/>
      <w:lvlJc w:val="left"/>
      <w:pPr>
        <w:ind w:left="2520" w:hanging="360"/>
      </w:pPr>
      <w:rPr>
        <w:rFonts w:ascii="Symbol" w:hAnsi="Symbol" w:hint="default"/>
      </w:rPr>
    </w:lvl>
    <w:lvl w:ilvl="4" w:tplc="A22E3994" w:tentative="1">
      <w:start w:val="1"/>
      <w:numFmt w:val="bullet"/>
      <w:lvlText w:val="o"/>
      <w:lvlJc w:val="left"/>
      <w:pPr>
        <w:ind w:left="3240" w:hanging="360"/>
      </w:pPr>
      <w:rPr>
        <w:rFonts w:ascii="Courier New" w:hAnsi="Courier New" w:hint="default"/>
      </w:rPr>
    </w:lvl>
    <w:lvl w:ilvl="5" w:tplc="56160EB8" w:tentative="1">
      <w:start w:val="1"/>
      <w:numFmt w:val="bullet"/>
      <w:lvlText w:val=""/>
      <w:lvlJc w:val="left"/>
      <w:pPr>
        <w:ind w:left="3960" w:hanging="360"/>
      </w:pPr>
      <w:rPr>
        <w:rFonts w:ascii="Wingdings" w:hAnsi="Wingdings" w:hint="default"/>
      </w:rPr>
    </w:lvl>
    <w:lvl w:ilvl="6" w:tplc="0AA84EFC" w:tentative="1">
      <w:start w:val="1"/>
      <w:numFmt w:val="bullet"/>
      <w:lvlText w:val=""/>
      <w:lvlJc w:val="left"/>
      <w:pPr>
        <w:ind w:left="4680" w:hanging="360"/>
      </w:pPr>
      <w:rPr>
        <w:rFonts w:ascii="Symbol" w:hAnsi="Symbol" w:hint="default"/>
      </w:rPr>
    </w:lvl>
    <w:lvl w:ilvl="7" w:tplc="6D024B4A" w:tentative="1">
      <w:start w:val="1"/>
      <w:numFmt w:val="bullet"/>
      <w:lvlText w:val="o"/>
      <w:lvlJc w:val="left"/>
      <w:pPr>
        <w:ind w:left="5400" w:hanging="360"/>
      </w:pPr>
      <w:rPr>
        <w:rFonts w:ascii="Courier New" w:hAnsi="Courier New" w:hint="default"/>
      </w:rPr>
    </w:lvl>
    <w:lvl w:ilvl="8" w:tplc="A91E564A" w:tentative="1">
      <w:start w:val="1"/>
      <w:numFmt w:val="bullet"/>
      <w:lvlText w:val=""/>
      <w:lvlJc w:val="left"/>
      <w:pPr>
        <w:ind w:left="6120" w:hanging="360"/>
      </w:pPr>
      <w:rPr>
        <w:rFonts w:ascii="Wingdings" w:hAnsi="Wingdings" w:hint="default"/>
      </w:rPr>
    </w:lvl>
  </w:abstractNum>
  <w:abstractNum w:abstractNumId="28" w15:restartNumberingAfterBreak="0">
    <w:nsid w:val="39861509"/>
    <w:multiLevelType w:val="multilevel"/>
    <w:tmpl w:val="D288419E"/>
    <w:lvl w:ilvl="0">
      <w:start w:val="1"/>
      <w:numFmt w:val="decimal"/>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29" w15:restartNumberingAfterBreak="0">
    <w:nsid w:val="3D1B01AE"/>
    <w:multiLevelType w:val="hybridMultilevel"/>
    <w:tmpl w:val="5BB6BE44"/>
    <w:lvl w:ilvl="0" w:tplc="FD44D488">
      <w:start w:val="1"/>
      <w:numFmt w:val="decimal"/>
      <w:pStyle w:val="Podtytu"/>
      <w:lvlText w:val="%1."/>
      <w:lvlJc w:val="left"/>
      <w:pPr>
        <w:ind w:left="3222" w:hanging="360"/>
      </w:pPr>
    </w:lvl>
    <w:lvl w:ilvl="1" w:tplc="04150003" w:tentative="1">
      <w:start w:val="1"/>
      <w:numFmt w:val="lowerLetter"/>
      <w:lvlText w:val="%2."/>
      <w:lvlJc w:val="left"/>
      <w:pPr>
        <w:ind w:left="3942" w:hanging="360"/>
      </w:pPr>
    </w:lvl>
    <w:lvl w:ilvl="2" w:tplc="04150005" w:tentative="1">
      <w:start w:val="1"/>
      <w:numFmt w:val="lowerRoman"/>
      <w:lvlText w:val="%3."/>
      <w:lvlJc w:val="right"/>
      <w:pPr>
        <w:ind w:left="4662" w:hanging="180"/>
      </w:pPr>
    </w:lvl>
    <w:lvl w:ilvl="3" w:tplc="04150001" w:tentative="1">
      <w:start w:val="1"/>
      <w:numFmt w:val="decimal"/>
      <w:lvlText w:val="%4."/>
      <w:lvlJc w:val="left"/>
      <w:pPr>
        <w:ind w:left="5382" w:hanging="360"/>
      </w:pPr>
    </w:lvl>
    <w:lvl w:ilvl="4" w:tplc="04150003" w:tentative="1">
      <w:start w:val="1"/>
      <w:numFmt w:val="lowerLetter"/>
      <w:lvlText w:val="%5."/>
      <w:lvlJc w:val="left"/>
      <w:pPr>
        <w:ind w:left="6102" w:hanging="360"/>
      </w:pPr>
    </w:lvl>
    <w:lvl w:ilvl="5" w:tplc="04150005" w:tentative="1">
      <w:start w:val="1"/>
      <w:numFmt w:val="lowerRoman"/>
      <w:lvlText w:val="%6."/>
      <w:lvlJc w:val="right"/>
      <w:pPr>
        <w:ind w:left="6822" w:hanging="180"/>
      </w:pPr>
    </w:lvl>
    <w:lvl w:ilvl="6" w:tplc="04150001" w:tentative="1">
      <w:start w:val="1"/>
      <w:numFmt w:val="decimal"/>
      <w:lvlText w:val="%7."/>
      <w:lvlJc w:val="left"/>
      <w:pPr>
        <w:ind w:left="7542" w:hanging="360"/>
      </w:pPr>
    </w:lvl>
    <w:lvl w:ilvl="7" w:tplc="04150003" w:tentative="1">
      <w:start w:val="1"/>
      <w:numFmt w:val="lowerLetter"/>
      <w:lvlText w:val="%8."/>
      <w:lvlJc w:val="left"/>
      <w:pPr>
        <w:ind w:left="8262" w:hanging="360"/>
      </w:pPr>
    </w:lvl>
    <w:lvl w:ilvl="8" w:tplc="04150005" w:tentative="1">
      <w:start w:val="1"/>
      <w:numFmt w:val="lowerRoman"/>
      <w:lvlText w:val="%9."/>
      <w:lvlJc w:val="right"/>
      <w:pPr>
        <w:ind w:left="8982" w:hanging="180"/>
      </w:pPr>
    </w:lvl>
  </w:abstractNum>
  <w:abstractNum w:abstractNumId="30" w15:restartNumberingAfterBreak="0">
    <w:nsid w:val="40053B43"/>
    <w:multiLevelType w:val="hybridMultilevel"/>
    <w:tmpl w:val="3D904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412DA4"/>
    <w:multiLevelType w:val="hybridMultilevel"/>
    <w:tmpl w:val="6546A3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44663FAE"/>
    <w:multiLevelType w:val="multilevel"/>
    <w:tmpl w:val="B96AC942"/>
    <w:lvl w:ilvl="0">
      <w:start w:val="9"/>
      <w:numFmt w:val="decimal"/>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33" w15:restartNumberingAfterBreak="0">
    <w:nsid w:val="47647E03"/>
    <w:multiLevelType w:val="multilevel"/>
    <w:tmpl w:val="17A80646"/>
    <w:name w:val="NumeracjaTreści-K"/>
    <w:numStyleLink w:val="NumeracjaTre-K"/>
  </w:abstractNum>
  <w:abstractNum w:abstractNumId="34" w15:restartNumberingAfterBreak="0">
    <w:nsid w:val="47D15486"/>
    <w:multiLevelType w:val="hybridMultilevel"/>
    <w:tmpl w:val="9F1C7140"/>
    <w:name w:val="NumeracjaTreści-K1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603534"/>
    <w:multiLevelType w:val="multilevel"/>
    <w:tmpl w:val="17044BDC"/>
    <w:lvl w:ilvl="0">
      <w:start w:val="10"/>
      <w:numFmt w:val="decimal"/>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36" w15:restartNumberingAfterBreak="0">
    <w:nsid w:val="4E457DD9"/>
    <w:multiLevelType w:val="hybridMultilevel"/>
    <w:tmpl w:val="D4D21BF4"/>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4EB372A0"/>
    <w:multiLevelType w:val="hybridMultilevel"/>
    <w:tmpl w:val="6AA808E8"/>
    <w:name w:val="NumeracjaTreści-K1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554902"/>
    <w:multiLevelType w:val="hybridMultilevel"/>
    <w:tmpl w:val="3A10D23C"/>
    <w:lvl w:ilvl="0" w:tplc="EF3A45AE">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F6F12F7"/>
    <w:multiLevelType w:val="hybridMultilevel"/>
    <w:tmpl w:val="9F38C034"/>
    <w:lvl w:ilvl="0" w:tplc="C8388FB0">
      <w:start w:val="1"/>
      <w:numFmt w:val="lowerLetter"/>
      <w:lvlText w:val="%1)"/>
      <w:lvlJc w:val="left"/>
      <w:pPr>
        <w:ind w:left="720" w:hanging="360"/>
      </w:pPr>
      <w:rPr>
        <w:rFonts w:cs="Times New Roman"/>
      </w:rPr>
    </w:lvl>
    <w:lvl w:ilvl="1" w:tplc="D9CE6A70" w:tentative="1">
      <w:start w:val="1"/>
      <w:numFmt w:val="lowerLetter"/>
      <w:lvlText w:val="%2."/>
      <w:lvlJc w:val="left"/>
      <w:pPr>
        <w:ind w:left="1440" w:hanging="360"/>
      </w:pPr>
    </w:lvl>
    <w:lvl w:ilvl="2" w:tplc="B150DE28" w:tentative="1">
      <w:start w:val="1"/>
      <w:numFmt w:val="lowerRoman"/>
      <w:lvlText w:val="%3."/>
      <w:lvlJc w:val="right"/>
      <w:pPr>
        <w:ind w:left="2160" w:hanging="180"/>
      </w:pPr>
    </w:lvl>
    <w:lvl w:ilvl="3" w:tplc="418CF240" w:tentative="1">
      <w:start w:val="1"/>
      <w:numFmt w:val="decimal"/>
      <w:lvlText w:val="%4."/>
      <w:lvlJc w:val="left"/>
      <w:pPr>
        <w:ind w:left="2880" w:hanging="360"/>
      </w:pPr>
    </w:lvl>
    <w:lvl w:ilvl="4" w:tplc="04DE318E" w:tentative="1">
      <w:start w:val="1"/>
      <w:numFmt w:val="lowerLetter"/>
      <w:lvlText w:val="%5."/>
      <w:lvlJc w:val="left"/>
      <w:pPr>
        <w:ind w:left="3600" w:hanging="360"/>
      </w:pPr>
    </w:lvl>
    <w:lvl w:ilvl="5" w:tplc="7D468EC0" w:tentative="1">
      <w:start w:val="1"/>
      <w:numFmt w:val="lowerRoman"/>
      <w:lvlText w:val="%6."/>
      <w:lvlJc w:val="right"/>
      <w:pPr>
        <w:ind w:left="4320" w:hanging="180"/>
      </w:pPr>
    </w:lvl>
    <w:lvl w:ilvl="6" w:tplc="D9DA1B4C" w:tentative="1">
      <w:start w:val="1"/>
      <w:numFmt w:val="decimal"/>
      <w:lvlText w:val="%7."/>
      <w:lvlJc w:val="left"/>
      <w:pPr>
        <w:ind w:left="5040" w:hanging="360"/>
      </w:pPr>
    </w:lvl>
    <w:lvl w:ilvl="7" w:tplc="BAA26D2A" w:tentative="1">
      <w:start w:val="1"/>
      <w:numFmt w:val="lowerLetter"/>
      <w:lvlText w:val="%8."/>
      <w:lvlJc w:val="left"/>
      <w:pPr>
        <w:ind w:left="5760" w:hanging="360"/>
      </w:pPr>
    </w:lvl>
    <w:lvl w:ilvl="8" w:tplc="5090399E" w:tentative="1">
      <w:start w:val="1"/>
      <w:numFmt w:val="lowerRoman"/>
      <w:lvlText w:val="%9."/>
      <w:lvlJc w:val="right"/>
      <w:pPr>
        <w:ind w:left="6480" w:hanging="180"/>
      </w:pPr>
    </w:lvl>
  </w:abstractNum>
  <w:abstractNum w:abstractNumId="40" w15:restartNumberingAfterBreak="0">
    <w:nsid w:val="4F703E33"/>
    <w:multiLevelType w:val="hybridMultilevel"/>
    <w:tmpl w:val="395263FE"/>
    <w:lvl w:ilvl="0" w:tplc="04150011">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1"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54870A68"/>
    <w:multiLevelType w:val="multilevel"/>
    <w:tmpl w:val="17A80646"/>
    <w:styleLink w:val="NumeracjaTre-K"/>
    <w:lvl w:ilvl="0">
      <w:start w:val="1"/>
      <w:numFmt w:val="decimal"/>
      <w:lvlText w:val="%1."/>
      <w:lvlJc w:val="left"/>
      <w:pPr>
        <w:ind w:left="425" w:hanging="425"/>
      </w:pPr>
      <w:rPr>
        <w:rFonts w:ascii="Arial" w:hAnsi="Arial" w:hint="default"/>
        <w:b w:val="0"/>
      </w:rPr>
    </w:lvl>
    <w:lvl w:ilvl="1">
      <w:start w:val="1"/>
      <w:numFmt w:val="lowerLetter"/>
      <w:lvlText w:val="%2)"/>
      <w:lvlJc w:val="left"/>
      <w:pPr>
        <w:ind w:left="425" w:hanging="425"/>
      </w:pPr>
      <w:rPr>
        <w:rFonts w:ascii="Arial" w:hAnsi="Arial" w:cs="Times New Roman" w:hint="default"/>
        <w:color w:val="auto"/>
      </w:rPr>
    </w:lvl>
    <w:lvl w:ilvl="2">
      <w:start w:val="1"/>
      <w:numFmt w:val="bullet"/>
      <w:lvlText w:val=""/>
      <w:lvlJc w:val="left"/>
      <w:pPr>
        <w:ind w:left="425" w:hanging="425"/>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3" w15:restartNumberingAfterBreak="0">
    <w:nsid w:val="54CE3062"/>
    <w:multiLevelType w:val="hybridMultilevel"/>
    <w:tmpl w:val="50C029EA"/>
    <w:lvl w:ilvl="0" w:tplc="0164B6F2">
      <w:start w:val="1"/>
      <w:numFmt w:val="bullet"/>
      <w:lvlText w:val=""/>
      <w:lvlJc w:val="left"/>
      <w:pPr>
        <w:ind w:left="360" w:hanging="360"/>
      </w:pPr>
      <w:rPr>
        <w:rFonts w:ascii="Symbol" w:hAnsi="Symbol" w:hint="default"/>
      </w:rPr>
    </w:lvl>
    <w:lvl w:ilvl="1" w:tplc="01069938" w:tentative="1">
      <w:start w:val="1"/>
      <w:numFmt w:val="bullet"/>
      <w:lvlText w:val="o"/>
      <w:lvlJc w:val="left"/>
      <w:pPr>
        <w:ind w:left="1080" w:hanging="360"/>
      </w:pPr>
      <w:rPr>
        <w:rFonts w:ascii="Courier New" w:hAnsi="Courier New" w:cs="Courier New" w:hint="default"/>
      </w:rPr>
    </w:lvl>
    <w:lvl w:ilvl="2" w:tplc="65FE6226" w:tentative="1">
      <w:start w:val="1"/>
      <w:numFmt w:val="bullet"/>
      <w:lvlText w:val=""/>
      <w:lvlJc w:val="left"/>
      <w:pPr>
        <w:ind w:left="1800" w:hanging="360"/>
      </w:pPr>
      <w:rPr>
        <w:rFonts w:ascii="Wingdings" w:hAnsi="Wingdings" w:hint="default"/>
      </w:rPr>
    </w:lvl>
    <w:lvl w:ilvl="3" w:tplc="E9F4E60A" w:tentative="1">
      <w:start w:val="1"/>
      <w:numFmt w:val="bullet"/>
      <w:lvlText w:val=""/>
      <w:lvlJc w:val="left"/>
      <w:pPr>
        <w:ind w:left="2520" w:hanging="360"/>
      </w:pPr>
      <w:rPr>
        <w:rFonts w:ascii="Symbol" w:hAnsi="Symbol" w:hint="default"/>
      </w:rPr>
    </w:lvl>
    <w:lvl w:ilvl="4" w:tplc="9E56D34A" w:tentative="1">
      <w:start w:val="1"/>
      <w:numFmt w:val="bullet"/>
      <w:lvlText w:val="o"/>
      <w:lvlJc w:val="left"/>
      <w:pPr>
        <w:ind w:left="3240" w:hanging="360"/>
      </w:pPr>
      <w:rPr>
        <w:rFonts w:ascii="Courier New" w:hAnsi="Courier New" w:cs="Courier New" w:hint="default"/>
      </w:rPr>
    </w:lvl>
    <w:lvl w:ilvl="5" w:tplc="48E87948" w:tentative="1">
      <w:start w:val="1"/>
      <w:numFmt w:val="bullet"/>
      <w:lvlText w:val=""/>
      <w:lvlJc w:val="left"/>
      <w:pPr>
        <w:ind w:left="3960" w:hanging="360"/>
      </w:pPr>
      <w:rPr>
        <w:rFonts w:ascii="Wingdings" w:hAnsi="Wingdings" w:hint="default"/>
      </w:rPr>
    </w:lvl>
    <w:lvl w:ilvl="6" w:tplc="3F3419F6" w:tentative="1">
      <w:start w:val="1"/>
      <w:numFmt w:val="bullet"/>
      <w:lvlText w:val=""/>
      <w:lvlJc w:val="left"/>
      <w:pPr>
        <w:ind w:left="4680" w:hanging="360"/>
      </w:pPr>
      <w:rPr>
        <w:rFonts w:ascii="Symbol" w:hAnsi="Symbol" w:hint="default"/>
      </w:rPr>
    </w:lvl>
    <w:lvl w:ilvl="7" w:tplc="4D26FCAC" w:tentative="1">
      <w:start w:val="1"/>
      <w:numFmt w:val="bullet"/>
      <w:lvlText w:val="o"/>
      <w:lvlJc w:val="left"/>
      <w:pPr>
        <w:ind w:left="5400" w:hanging="360"/>
      </w:pPr>
      <w:rPr>
        <w:rFonts w:ascii="Courier New" w:hAnsi="Courier New" w:cs="Courier New" w:hint="default"/>
      </w:rPr>
    </w:lvl>
    <w:lvl w:ilvl="8" w:tplc="13D66BAC" w:tentative="1">
      <w:start w:val="1"/>
      <w:numFmt w:val="bullet"/>
      <w:lvlText w:val=""/>
      <w:lvlJc w:val="left"/>
      <w:pPr>
        <w:ind w:left="6120" w:hanging="360"/>
      </w:pPr>
      <w:rPr>
        <w:rFonts w:ascii="Wingdings" w:hAnsi="Wingdings" w:hint="default"/>
      </w:rPr>
    </w:lvl>
  </w:abstractNum>
  <w:abstractNum w:abstractNumId="44" w15:restartNumberingAfterBreak="0">
    <w:nsid w:val="591417BC"/>
    <w:multiLevelType w:val="hybridMultilevel"/>
    <w:tmpl w:val="F9642834"/>
    <w:lvl w:ilvl="0" w:tplc="04150001">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45" w15:restartNumberingAfterBreak="0">
    <w:nsid w:val="595F579D"/>
    <w:multiLevelType w:val="hybridMultilevel"/>
    <w:tmpl w:val="F4446E4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6" w15:restartNumberingAfterBreak="0">
    <w:nsid w:val="5D2E6A38"/>
    <w:multiLevelType w:val="multilevel"/>
    <w:tmpl w:val="FB7C8DB2"/>
    <w:styleLink w:val="Numeracja-K1"/>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5D927FDA"/>
    <w:multiLevelType w:val="multilevel"/>
    <w:tmpl w:val="17A80646"/>
    <w:numStyleLink w:val="NumeracjaTre-K"/>
  </w:abstractNum>
  <w:abstractNum w:abstractNumId="48" w15:restartNumberingAfterBreak="0">
    <w:nsid w:val="5E6B74CE"/>
    <w:multiLevelType w:val="multilevel"/>
    <w:tmpl w:val="F7B6B29C"/>
    <w:name w:val="Numeracja-K2"/>
    <w:numStyleLink w:val="Numeracja-K"/>
  </w:abstractNum>
  <w:abstractNum w:abstractNumId="49" w15:restartNumberingAfterBreak="0">
    <w:nsid w:val="5FCD798F"/>
    <w:multiLevelType w:val="hybridMultilevel"/>
    <w:tmpl w:val="804441BE"/>
    <w:lvl w:ilvl="0" w:tplc="DB0845C4">
      <w:start w:val="1"/>
      <w:numFmt w:val="lowerLetter"/>
      <w:lvlText w:val="%1)"/>
      <w:lvlJc w:val="left"/>
      <w:pPr>
        <w:ind w:left="720" w:hanging="360"/>
      </w:pPr>
      <w:rPr>
        <w:rFonts w:cs="Times New Roman"/>
      </w:rPr>
    </w:lvl>
    <w:lvl w:ilvl="1" w:tplc="DEF62D18" w:tentative="1">
      <w:start w:val="1"/>
      <w:numFmt w:val="lowerLetter"/>
      <w:lvlText w:val="%2."/>
      <w:lvlJc w:val="left"/>
      <w:pPr>
        <w:ind w:left="1440" w:hanging="360"/>
      </w:pPr>
    </w:lvl>
    <w:lvl w:ilvl="2" w:tplc="555E78AA" w:tentative="1">
      <w:start w:val="1"/>
      <w:numFmt w:val="lowerRoman"/>
      <w:lvlText w:val="%3."/>
      <w:lvlJc w:val="right"/>
      <w:pPr>
        <w:ind w:left="2160" w:hanging="180"/>
      </w:pPr>
    </w:lvl>
    <w:lvl w:ilvl="3" w:tplc="B078630A" w:tentative="1">
      <w:start w:val="1"/>
      <w:numFmt w:val="decimal"/>
      <w:lvlText w:val="%4."/>
      <w:lvlJc w:val="left"/>
      <w:pPr>
        <w:ind w:left="2880" w:hanging="360"/>
      </w:pPr>
    </w:lvl>
    <w:lvl w:ilvl="4" w:tplc="EB4C60B4" w:tentative="1">
      <w:start w:val="1"/>
      <w:numFmt w:val="lowerLetter"/>
      <w:lvlText w:val="%5."/>
      <w:lvlJc w:val="left"/>
      <w:pPr>
        <w:ind w:left="3600" w:hanging="360"/>
      </w:pPr>
    </w:lvl>
    <w:lvl w:ilvl="5" w:tplc="5C6E8090" w:tentative="1">
      <w:start w:val="1"/>
      <w:numFmt w:val="lowerRoman"/>
      <w:lvlText w:val="%6."/>
      <w:lvlJc w:val="right"/>
      <w:pPr>
        <w:ind w:left="4320" w:hanging="180"/>
      </w:pPr>
    </w:lvl>
    <w:lvl w:ilvl="6" w:tplc="87684B3E" w:tentative="1">
      <w:start w:val="1"/>
      <w:numFmt w:val="decimal"/>
      <w:lvlText w:val="%7."/>
      <w:lvlJc w:val="left"/>
      <w:pPr>
        <w:ind w:left="5040" w:hanging="360"/>
      </w:pPr>
    </w:lvl>
    <w:lvl w:ilvl="7" w:tplc="04A8FA78" w:tentative="1">
      <w:start w:val="1"/>
      <w:numFmt w:val="lowerLetter"/>
      <w:lvlText w:val="%8."/>
      <w:lvlJc w:val="left"/>
      <w:pPr>
        <w:ind w:left="5760" w:hanging="360"/>
      </w:pPr>
    </w:lvl>
    <w:lvl w:ilvl="8" w:tplc="70E2F298" w:tentative="1">
      <w:start w:val="1"/>
      <w:numFmt w:val="lowerRoman"/>
      <w:lvlText w:val="%9."/>
      <w:lvlJc w:val="right"/>
      <w:pPr>
        <w:ind w:left="6480" w:hanging="180"/>
      </w:pPr>
    </w:lvl>
  </w:abstractNum>
  <w:abstractNum w:abstractNumId="50" w15:restartNumberingAfterBreak="0">
    <w:nsid w:val="60961E13"/>
    <w:multiLevelType w:val="multilevel"/>
    <w:tmpl w:val="17A80646"/>
    <w:name w:val="NumeracjaTreści-K2"/>
    <w:numStyleLink w:val="NumeracjaTre-K"/>
  </w:abstractNum>
  <w:abstractNum w:abstractNumId="51" w15:restartNumberingAfterBreak="0">
    <w:nsid w:val="60A72B6C"/>
    <w:multiLevelType w:val="hybridMultilevel"/>
    <w:tmpl w:val="2C5C0E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760932"/>
    <w:multiLevelType w:val="hybridMultilevel"/>
    <w:tmpl w:val="F6C0C368"/>
    <w:lvl w:ilvl="0" w:tplc="E500B584">
      <w:start w:val="1"/>
      <w:numFmt w:val="decimal"/>
      <w:pStyle w:val="Podrozdzia21-DK"/>
      <w:lvlText w:val="3.%1"/>
      <w:lvlJc w:val="left"/>
      <w:pPr>
        <w:ind w:left="1480" w:hanging="360"/>
      </w:pPr>
      <w:rPr>
        <w:rFonts w:cs="Times New Roman" w:hint="default"/>
      </w:rPr>
    </w:lvl>
    <w:lvl w:ilvl="1" w:tplc="2E8C2392" w:tentative="1">
      <w:start w:val="1"/>
      <w:numFmt w:val="lowerLetter"/>
      <w:lvlText w:val="%2."/>
      <w:lvlJc w:val="left"/>
      <w:pPr>
        <w:ind w:left="2200" w:hanging="360"/>
      </w:pPr>
      <w:rPr>
        <w:rFonts w:cs="Times New Roman"/>
      </w:rPr>
    </w:lvl>
    <w:lvl w:ilvl="2" w:tplc="F9E2D48A" w:tentative="1">
      <w:start w:val="1"/>
      <w:numFmt w:val="lowerRoman"/>
      <w:lvlText w:val="%3."/>
      <w:lvlJc w:val="right"/>
      <w:pPr>
        <w:ind w:left="2920" w:hanging="180"/>
      </w:pPr>
      <w:rPr>
        <w:rFonts w:cs="Times New Roman"/>
      </w:rPr>
    </w:lvl>
    <w:lvl w:ilvl="3" w:tplc="73E0E0D6" w:tentative="1">
      <w:start w:val="1"/>
      <w:numFmt w:val="decimal"/>
      <w:lvlText w:val="%4."/>
      <w:lvlJc w:val="left"/>
      <w:pPr>
        <w:ind w:left="3640" w:hanging="360"/>
      </w:pPr>
      <w:rPr>
        <w:rFonts w:cs="Times New Roman"/>
      </w:rPr>
    </w:lvl>
    <w:lvl w:ilvl="4" w:tplc="33722B1A" w:tentative="1">
      <w:start w:val="1"/>
      <w:numFmt w:val="lowerLetter"/>
      <w:lvlText w:val="%5."/>
      <w:lvlJc w:val="left"/>
      <w:pPr>
        <w:ind w:left="4360" w:hanging="360"/>
      </w:pPr>
      <w:rPr>
        <w:rFonts w:cs="Times New Roman"/>
      </w:rPr>
    </w:lvl>
    <w:lvl w:ilvl="5" w:tplc="0BDE9E00" w:tentative="1">
      <w:start w:val="1"/>
      <w:numFmt w:val="lowerRoman"/>
      <w:lvlText w:val="%6."/>
      <w:lvlJc w:val="right"/>
      <w:pPr>
        <w:ind w:left="5080" w:hanging="180"/>
      </w:pPr>
      <w:rPr>
        <w:rFonts w:cs="Times New Roman"/>
      </w:rPr>
    </w:lvl>
    <w:lvl w:ilvl="6" w:tplc="FED6EF88" w:tentative="1">
      <w:start w:val="1"/>
      <w:numFmt w:val="decimal"/>
      <w:lvlText w:val="%7."/>
      <w:lvlJc w:val="left"/>
      <w:pPr>
        <w:ind w:left="5800" w:hanging="360"/>
      </w:pPr>
      <w:rPr>
        <w:rFonts w:cs="Times New Roman"/>
      </w:rPr>
    </w:lvl>
    <w:lvl w:ilvl="7" w:tplc="D6C8661E" w:tentative="1">
      <w:start w:val="1"/>
      <w:numFmt w:val="lowerLetter"/>
      <w:lvlText w:val="%8."/>
      <w:lvlJc w:val="left"/>
      <w:pPr>
        <w:ind w:left="6520" w:hanging="360"/>
      </w:pPr>
      <w:rPr>
        <w:rFonts w:cs="Times New Roman"/>
      </w:rPr>
    </w:lvl>
    <w:lvl w:ilvl="8" w:tplc="14A0941C" w:tentative="1">
      <w:start w:val="1"/>
      <w:numFmt w:val="lowerRoman"/>
      <w:lvlText w:val="%9."/>
      <w:lvlJc w:val="right"/>
      <w:pPr>
        <w:ind w:left="7240" w:hanging="180"/>
      </w:pPr>
      <w:rPr>
        <w:rFonts w:cs="Times New Roman"/>
      </w:rPr>
    </w:lvl>
  </w:abstractNum>
  <w:abstractNum w:abstractNumId="53" w15:restartNumberingAfterBreak="0">
    <w:nsid w:val="630C21FC"/>
    <w:multiLevelType w:val="hybridMultilevel"/>
    <w:tmpl w:val="ED0C6F94"/>
    <w:lvl w:ilvl="0" w:tplc="C70C8D0C">
      <w:start w:val="1"/>
      <w:numFmt w:val="decimal"/>
      <w:lvlText w:val="%1."/>
      <w:lvlJc w:val="left"/>
      <w:pPr>
        <w:ind w:left="720" w:hanging="360"/>
      </w:pPr>
      <w:rPr>
        <w:rFonts w:hint="default"/>
      </w:rPr>
    </w:lvl>
    <w:lvl w:ilvl="1" w:tplc="9A4CE9F4" w:tentative="1">
      <w:start w:val="1"/>
      <w:numFmt w:val="lowerLetter"/>
      <w:lvlText w:val="%2."/>
      <w:lvlJc w:val="left"/>
      <w:pPr>
        <w:ind w:left="1440" w:hanging="360"/>
      </w:pPr>
    </w:lvl>
    <w:lvl w:ilvl="2" w:tplc="D60AB9EE" w:tentative="1">
      <w:start w:val="1"/>
      <w:numFmt w:val="lowerRoman"/>
      <w:lvlText w:val="%3."/>
      <w:lvlJc w:val="right"/>
      <w:pPr>
        <w:ind w:left="2160" w:hanging="180"/>
      </w:pPr>
    </w:lvl>
    <w:lvl w:ilvl="3" w:tplc="93824EF2" w:tentative="1">
      <w:start w:val="1"/>
      <w:numFmt w:val="decimal"/>
      <w:lvlText w:val="%4."/>
      <w:lvlJc w:val="left"/>
      <w:pPr>
        <w:ind w:left="2880" w:hanging="360"/>
      </w:pPr>
    </w:lvl>
    <w:lvl w:ilvl="4" w:tplc="25742698" w:tentative="1">
      <w:start w:val="1"/>
      <w:numFmt w:val="lowerLetter"/>
      <w:lvlText w:val="%5."/>
      <w:lvlJc w:val="left"/>
      <w:pPr>
        <w:ind w:left="3600" w:hanging="360"/>
      </w:pPr>
    </w:lvl>
    <w:lvl w:ilvl="5" w:tplc="0262D43A" w:tentative="1">
      <w:start w:val="1"/>
      <w:numFmt w:val="lowerRoman"/>
      <w:lvlText w:val="%6."/>
      <w:lvlJc w:val="right"/>
      <w:pPr>
        <w:ind w:left="4320" w:hanging="180"/>
      </w:pPr>
    </w:lvl>
    <w:lvl w:ilvl="6" w:tplc="672A1904" w:tentative="1">
      <w:start w:val="1"/>
      <w:numFmt w:val="decimal"/>
      <w:lvlText w:val="%7."/>
      <w:lvlJc w:val="left"/>
      <w:pPr>
        <w:ind w:left="5040" w:hanging="360"/>
      </w:pPr>
    </w:lvl>
    <w:lvl w:ilvl="7" w:tplc="EEA033EC" w:tentative="1">
      <w:start w:val="1"/>
      <w:numFmt w:val="lowerLetter"/>
      <w:lvlText w:val="%8."/>
      <w:lvlJc w:val="left"/>
      <w:pPr>
        <w:ind w:left="5760" w:hanging="360"/>
      </w:pPr>
    </w:lvl>
    <w:lvl w:ilvl="8" w:tplc="409CF468" w:tentative="1">
      <w:start w:val="1"/>
      <w:numFmt w:val="lowerRoman"/>
      <w:lvlText w:val="%9."/>
      <w:lvlJc w:val="right"/>
      <w:pPr>
        <w:ind w:left="6480" w:hanging="180"/>
      </w:pPr>
    </w:lvl>
  </w:abstractNum>
  <w:abstractNum w:abstractNumId="54" w15:restartNumberingAfterBreak="0">
    <w:nsid w:val="66DF372F"/>
    <w:multiLevelType w:val="hybridMultilevel"/>
    <w:tmpl w:val="7E7E3104"/>
    <w:lvl w:ilvl="0" w:tplc="F4223E3E">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5" w15:restartNumberingAfterBreak="0">
    <w:nsid w:val="67EC1E3E"/>
    <w:multiLevelType w:val="multilevel"/>
    <w:tmpl w:val="CE3A0630"/>
    <w:lvl w:ilvl="0">
      <w:start w:val="7"/>
      <w:numFmt w:val="decimal"/>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56" w15:restartNumberingAfterBreak="0">
    <w:nsid w:val="6D7A2FCA"/>
    <w:multiLevelType w:val="hybridMultilevel"/>
    <w:tmpl w:val="95AC6676"/>
    <w:lvl w:ilvl="0" w:tplc="0415000F">
      <w:start w:val="1"/>
      <w:numFmt w:val="upperRoman"/>
      <w:pStyle w:val="RozdziaIDK"/>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BB0058"/>
    <w:multiLevelType w:val="multilevel"/>
    <w:tmpl w:val="F7B6B29C"/>
    <w:name w:val="Numeracja-K"/>
    <w:numStyleLink w:val="Numeracja-K"/>
  </w:abstractNum>
  <w:abstractNum w:abstractNumId="58" w15:restartNumberingAfterBreak="0">
    <w:nsid w:val="6E1F6B70"/>
    <w:multiLevelType w:val="hybridMultilevel"/>
    <w:tmpl w:val="DE5AAB74"/>
    <w:lvl w:ilvl="0" w:tplc="16B8D7E4">
      <w:start w:val="1"/>
      <w:numFmt w:val="bullet"/>
      <w:lvlText w:val=""/>
      <w:lvlJc w:val="left"/>
      <w:pPr>
        <w:ind w:left="720" w:hanging="360"/>
      </w:pPr>
      <w:rPr>
        <w:rFonts w:ascii="Symbol" w:hAnsi="Symbol" w:hint="default"/>
      </w:rPr>
    </w:lvl>
    <w:lvl w:ilvl="1" w:tplc="ED1C11B8">
      <w:start w:val="1"/>
      <w:numFmt w:val="bullet"/>
      <w:lvlText w:val="o"/>
      <w:lvlJc w:val="left"/>
      <w:pPr>
        <w:ind w:left="1440" w:hanging="360"/>
      </w:pPr>
      <w:rPr>
        <w:rFonts w:ascii="Courier New" w:hAnsi="Courier New" w:cs="Courier New" w:hint="default"/>
      </w:rPr>
    </w:lvl>
    <w:lvl w:ilvl="2" w:tplc="4244AB20" w:tentative="1">
      <w:start w:val="1"/>
      <w:numFmt w:val="bullet"/>
      <w:lvlText w:val=""/>
      <w:lvlJc w:val="left"/>
      <w:pPr>
        <w:ind w:left="2160" w:hanging="360"/>
      </w:pPr>
      <w:rPr>
        <w:rFonts w:ascii="Wingdings" w:hAnsi="Wingdings" w:hint="default"/>
      </w:rPr>
    </w:lvl>
    <w:lvl w:ilvl="3" w:tplc="7C38091E" w:tentative="1">
      <w:start w:val="1"/>
      <w:numFmt w:val="bullet"/>
      <w:lvlText w:val=""/>
      <w:lvlJc w:val="left"/>
      <w:pPr>
        <w:ind w:left="2880" w:hanging="360"/>
      </w:pPr>
      <w:rPr>
        <w:rFonts w:ascii="Symbol" w:hAnsi="Symbol" w:hint="default"/>
      </w:rPr>
    </w:lvl>
    <w:lvl w:ilvl="4" w:tplc="214812FE" w:tentative="1">
      <w:start w:val="1"/>
      <w:numFmt w:val="bullet"/>
      <w:lvlText w:val="o"/>
      <w:lvlJc w:val="left"/>
      <w:pPr>
        <w:ind w:left="3600" w:hanging="360"/>
      </w:pPr>
      <w:rPr>
        <w:rFonts w:ascii="Courier New" w:hAnsi="Courier New" w:cs="Courier New" w:hint="default"/>
      </w:rPr>
    </w:lvl>
    <w:lvl w:ilvl="5" w:tplc="0F3EFBA6" w:tentative="1">
      <w:start w:val="1"/>
      <w:numFmt w:val="bullet"/>
      <w:lvlText w:val=""/>
      <w:lvlJc w:val="left"/>
      <w:pPr>
        <w:ind w:left="4320" w:hanging="360"/>
      </w:pPr>
      <w:rPr>
        <w:rFonts w:ascii="Wingdings" w:hAnsi="Wingdings" w:hint="default"/>
      </w:rPr>
    </w:lvl>
    <w:lvl w:ilvl="6" w:tplc="99A284B6" w:tentative="1">
      <w:start w:val="1"/>
      <w:numFmt w:val="bullet"/>
      <w:lvlText w:val=""/>
      <w:lvlJc w:val="left"/>
      <w:pPr>
        <w:ind w:left="5040" w:hanging="360"/>
      </w:pPr>
      <w:rPr>
        <w:rFonts w:ascii="Symbol" w:hAnsi="Symbol" w:hint="default"/>
      </w:rPr>
    </w:lvl>
    <w:lvl w:ilvl="7" w:tplc="9C68E8EC" w:tentative="1">
      <w:start w:val="1"/>
      <w:numFmt w:val="bullet"/>
      <w:lvlText w:val="o"/>
      <w:lvlJc w:val="left"/>
      <w:pPr>
        <w:ind w:left="5760" w:hanging="360"/>
      </w:pPr>
      <w:rPr>
        <w:rFonts w:ascii="Courier New" w:hAnsi="Courier New" w:cs="Courier New" w:hint="default"/>
      </w:rPr>
    </w:lvl>
    <w:lvl w:ilvl="8" w:tplc="4C42D558" w:tentative="1">
      <w:start w:val="1"/>
      <w:numFmt w:val="bullet"/>
      <w:lvlText w:val=""/>
      <w:lvlJc w:val="left"/>
      <w:pPr>
        <w:ind w:left="6480" w:hanging="360"/>
      </w:pPr>
      <w:rPr>
        <w:rFonts w:ascii="Wingdings" w:hAnsi="Wingdings" w:hint="default"/>
      </w:rPr>
    </w:lvl>
  </w:abstractNum>
  <w:abstractNum w:abstractNumId="59"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0" w15:restartNumberingAfterBreak="0">
    <w:nsid w:val="722E0FBA"/>
    <w:multiLevelType w:val="hybridMultilevel"/>
    <w:tmpl w:val="8BA850A2"/>
    <w:lvl w:ilvl="0" w:tplc="22E0483E">
      <w:start w:val="1"/>
      <w:numFmt w:val="decimal"/>
      <w:lvlText w:val="%1)"/>
      <w:lvlJc w:val="left"/>
      <w:pPr>
        <w:ind w:left="420" w:hanging="360"/>
      </w:pPr>
      <w:rPr>
        <w:rFonts w:hint="default"/>
      </w:rPr>
    </w:lvl>
    <w:lvl w:ilvl="1" w:tplc="E88CBEDA" w:tentative="1">
      <w:start w:val="1"/>
      <w:numFmt w:val="lowerLetter"/>
      <w:lvlText w:val="%2."/>
      <w:lvlJc w:val="left"/>
      <w:pPr>
        <w:ind w:left="1140" w:hanging="360"/>
      </w:pPr>
    </w:lvl>
    <w:lvl w:ilvl="2" w:tplc="431E3F42" w:tentative="1">
      <w:start w:val="1"/>
      <w:numFmt w:val="lowerRoman"/>
      <w:lvlText w:val="%3."/>
      <w:lvlJc w:val="right"/>
      <w:pPr>
        <w:ind w:left="1860" w:hanging="180"/>
      </w:pPr>
    </w:lvl>
    <w:lvl w:ilvl="3" w:tplc="3D4605D6" w:tentative="1">
      <w:start w:val="1"/>
      <w:numFmt w:val="decimal"/>
      <w:lvlText w:val="%4."/>
      <w:lvlJc w:val="left"/>
      <w:pPr>
        <w:ind w:left="2580" w:hanging="360"/>
      </w:pPr>
    </w:lvl>
    <w:lvl w:ilvl="4" w:tplc="6032E476" w:tentative="1">
      <w:start w:val="1"/>
      <w:numFmt w:val="lowerLetter"/>
      <w:lvlText w:val="%5."/>
      <w:lvlJc w:val="left"/>
      <w:pPr>
        <w:ind w:left="3300" w:hanging="360"/>
      </w:pPr>
    </w:lvl>
    <w:lvl w:ilvl="5" w:tplc="4290E25E" w:tentative="1">
      <w:start w:val="1"/>
      <w:numFmt w:val="lowerRoman"/>
      <w:lvlText w:val="%6."/>
      <w:lvlJc w:val="right"/>
      <w:pPr>
        <w:ind w:left="4020" w:hanging="180"/>
      </w:pPr>
    </w:lvl>
    <w:lvl w:ilvl="6" w:tplc="DFCC3792" w:tentative="1">
      <w:start w:val="1"/>
      <w:numFmt w:val="decimal"/>
      <w:lvlText w:val="%7."/>
      <w:lvlJc w:val="left"/>
      <w:pPr>
        <w:ind w:left="4740" w:hanging="360"/>
      </w:pPr>
    </w:lvl>
    <w:lvl w:ilvl="7" w:tplc="4CE0C25A" w:tentative="1">
      <w:start w:val="1"/>
      <w:numFmt w:val="lowerLetter"/>
      <w:lvlText w:val="%8."/>
      <w:lvlJc w:val="left"/>
      <w:pPr>
        <w:ind w:left="5460" w:hanging="360"/>
      </w:pPr>
    </w:lvl>
    <w:lvl w:ilvl="8" w:tplc="9BB4DED4" w:tentative="1">
      <w:start w:val="1"/>
      <w:numFmt w:val="lowerRoman"/>
      <w:lvlText w:val="%9."/>
      <w:lvlJc w:val="right"/>
      <w:pPr>
        <w:ind w:left="6180" w:hanging="180"/>
      </w:pPr>
    </w:lvl>
  </w:abstractNum>
  <w:abstractNum w:abstractNumId="61" w15:restartNumberingAfterBreak="0">
    <w:nsid w:val="74BF1CE6"/>
    <w:multiLevelType w:val="hybridMultilevel"/>
    <w:tmpl w:val="8312C474"/>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2" w15:restartNumberingAfterBreak="0">
    <w:nsid w:val="74E411EC"/>
    <w:multiLevelType w:val="hybridMultilevel"/>
    <w:tmpl w:val="72861462"/>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75021761"/>
    <w:multiLevelType w:val="hybridMultilevel"/>
    <w:tmpl w:val="33221358"/>
    <w:name w:val="NumeracjaTreści-K1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F910D9"/>
    <w:multiLevelType w:val="multilevel"/>
    <w:tmpl w:val="17A80646"/>
    <w:name w:val="NumeracjaTreści-K2"/>
    <w:numStyleLink w:val="NumeracjaTre-K"/>
  </w:abstractNum>
  <w:abstractNum w:abstractNumId="65" w15:restartNumberingAfterBreak="0">
    <w:nsid w:val="77F6691F"/>
    <w:multiLevelType w:val="hybridMultilevel"/>
    <w:tmpl w:val="2432F312"/>
    <w:lvl w:ilvl="0" w:tplc="961E76B8">
      <w:start w:val="1"/>
      <w:numFmt w:val="bullet"/>
      <w:lvlText w:val=""/>
      <w:lvlJc w:val="left"/>
      <w:pPr>
        <w:ind w:left="720" w:hanging="360"/>
      </w:pPr>
      <w:rPr>
        <w:rFonts w:ascii="Symbol" w:hAnsi="Symbol" w:hint="default"/>
      </w:rPr>
    </w:lvl>
    <w:lvl w:ilvl="1" w:tplc="80048EF2">
      <w:numFmt w:val="bullet"/>
      <w:lvlText w:val="•"/>
      <w:lvlJc w:val="left"/>
      <w:pPr>
        <w:ind w:left="1512" w:hanging="432"/>
      </w:pPr>
      <w:rPr>
        <w:rFonts w:ascii="Arial" w:eastAsiaTheme="minorHAnsi" w:hAnsi="Arial" w:cs="Arial" w:hint="default"/>
      </w:rPr>
    </w:lvl>
    <w:lvl w:ilvl="2" w:tplc="7D848E26" w:tentative="1">
      <w:start w:val="1"/>
      <w:numFmt w:val="bullet"/>
      <w:lvlText w:val=""/>
      <w:lvlJc w:val="left"/>
      <w:pPr>
        <w:ind w:left="2160" w:hanging="360"/>
      </w:pPr>
      <w:rPr>
        <w:rFonts w:ascii="Wingdings" w:hAnsi="Wingdings" w:hint="default"/>
      </w:rPr>
    </w:lvl>
    <w:lvl w:ilvl="3" w:tplc="C2F0281E" w:tentative="1">
      <w:start w:val="1"/>
      <w:numFmt w:val="bullet"/>
      <w:lvlText w:val=""/>
      <w:lvlJc w:val="left"/>
      <w:pPr>
        <w:ind w:left="2880" w:hanging="360"/>
      </w:pPr>
      <w:rPr>
        <w:rFonts w:ascii="Symbol" w:hAnsi="Symbol" w:hint="default"/>
      </w:rPr>
    </w:lvl>
    <w:lvl w:ilvl="4" w:tplc="85822DFA" w:tentative="1">
      <w:start w:val="1"/>
      <w:numFmt w:val="bullet"/>
      <w:lvlText w:val="o"/>
      <w:lvlJc w:val="left"/>
      <w:pPr>
        <w:ind w:left="3600" w:hanging="360"/>
      </w:pPr>
      <w:rPr>
        <w:rFonts w:ascii="Courier New" w:hAnsi="Courier New" w:cs="Courier New" w:hint="default"/>
      </w:rPr>
    </w:lvl>
    <w:lvl w:ilvl="5" w:tplc="2F9CD322" w:tentative="1">
      <w:start w:val="1"/>
      <w:numFmt w:val="bullet"/>
      <w:lvlText w:val=""/>
      <w:lvlJc w:val="left"/>
      <w:pPr>
        <w:ind w:left="4320" w:hanging="360"/>
      </w:pPr>
      <w:rPr>
        <w:rFonts w:ascii="Wingdings" w:hAnsi="Wingdings" w:hint="default"/>
      </w:rPr>
    </w:lvl>
    <w:lvl w:ilvl="6" w:tplc="60946CD0" w:tentative="1">
      <w:start w:val="1"/>
      <w:numFmt w:val="bullet"/>
      <w:lvlText w:val=""/>
      <w:lvlJc w:val="left"/>
      <w:pPr>
        <w:ind w:left="5040" w:hanging="360"/>
      </w:pPr>
      <w:rPr>
        <w:rFonts w:ascii="Symbol" w:hAnsi="Symbol" w:hint="default"/>
      </w:rPr>
    </w:lvl>
    <w:lvl w:ilvl="7" w:tplc="FB2C4F02" w:tentative="1">
      <w:start w:val="1"/>
      <w:numFmt w:val="bullet"/>
      <w:lvlText w:val="o"/>
      <w:lvlJc w:val="left"/>
      <w:pPr>
        <w:ind w:left="5760" w:hanging="360"/>
      </w:pPr>
      <w:rPr>
        <w:rFonts w:ascii="Courier New" w:hAnsi="Courier New" w:cs="Courier New" w:hint="default"/>
      </w:rPr>
    </w:lvl>
    <w:lvl w:ilvl="8" w:tplc="58E26EFC" w:tentative="1">
      <w:start w:val="1"/>
      <w:numFmt w:val="bullet"/>
      <w:lvlText w:val=""/>
      <w:lvlJc w:val="left"/>
      <w:pPr>
        <w:ind w:left="6480" w:hanging="360"/>
      </w:pPr>
      <w:rPr>
        <w:rFonts w:ascii="Wingdings" w:hAnsi="Wingdings" w:hint="default"/>
      </w:rPr>
    </w:lvl>
  </w:abstractNum>
  <w:abstractNum w:abstractNumId="66" w15:restartNumberingAfterBreak="0">
    <w:nsid w:val="7B083F7B"/>
    <w:multiLevelType w:val="hybridMultilevel"/>
    <w:tmpl w:val="B014A5AC"/>
    <w:lvl w:ilvl="0" w:tplc="04150001">
      <w:start w:val="1"/>
      <w:numFmt w:val="decimal"/>
      <w:lvlText w:val="%1."/>
      <w:lvlJc w:val="left"/>
      <w:pPr>
        <w:ind w:left="360" w:hanging="360"/>
      </w:pPr>
      <w:rPr>
        <w:rFonts w:hint="default"/>
        <w:b/>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67" w15:restartNumberingAfterBreak="0">
    <w:nsid w:val="7D9D4BBB"/>
    <w:multiLevelType w:val="hybridMultilevel"/>
    <w:tmpl w:val="736C6C66"/>
    <w:lvl w:ilvl="0" w:tplc="6FAA2454">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num w:numId="1">
    <w:abstractNumId w:val="22"/>
  </w:num>
  <w:num w:numId="2">
    <w:abstractNumId w:val="52"/>
  </w:num>
  <w:num w:numId="3">
    <w:abstractNumId w:val="56"/>
  </w:num>
  <w:num w:numId="4">
    <w:abstractNumId w:val="67"/>
  </w:num>
  <w:num w:numId="5">
    <w:abstractNumId w:val="46"/>
  </w:num>
  <w:num w:numId="6">
    <w:abstractNumId w:val="29"/>
  </w:num>
  <w:num w:numId="7">
    <w:abstractNumId w:val="42"/>
  </w:num>
  <w:num w:numId="8">
    <w:abstractNumId w:val="33"/>
    <w:lvlOverride w:ilvl="0">
      <w:lvl w:ilvl="0">
        <w:start w:val="1"/>
        <w:numFmt w:val="decimal"/>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
    <w:abstractNumId w:val="33"/>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
    <w:abstractNumId w:val="18"/>
    <w:lvlOverride w:ilvl="0">
      <w:lvl w:ilvl="0">
        <w:start w:val="1"/>
        <w:numFmt w:val="ordinal"/>
        <w:pStyle w:val="Rozdzia-K"/>
        <w:lvlText w:val="%1"/>
        <w:lvlJc w:val="left"/>
        <w:pPr>
          <w:ind w:left="720" w:hanging="363"/>
        </w:pPr>
        <w:rPr>
          <w:rFonts w:ascii="Arial" w:hAnsi="Arial" w:hint="default"/>
          <w:sz w:val="24"/>
        </w:rPr>
      </w:lvl>
    </w:lvlOverride>
    <w:lvlOverride w:ilvl="1">
      <w:lvl w:ilvl="1">
        <w:start w:val="1"/>
        <w:numFmt w:val="ordinal"/>
        <w:pStyle w:val="Podrozdzia-K"/>
        <w:lvlText w:val="%1%2"/>
        <w:lvlJc w:val="left"/>
        <w:pPr>
          <w:ind w:left="720" w:hanging="363"/>
        </w:pPr>
        <w:rPr>
          <w:rFonts w:hint="default"/>
        </w:rPr>
      </w:lvl>
    </w:lvlOverride>
    <w:lvlOverride w:ilvl="2">
      <w:lvl w:ilvl="2">
        <w:start w:val="1"/>
        <w:numFmt w:val="ordinal"/>
        <w:lvlText w:val="%3%1%2"/>
        <w:lvlJc w:val="left"/>
        <w:pPr>
          <w:ind w:left="720" w:hanging="363"/>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11">
    <w:abstractNumId w:val="12"/>
  </w:num>
  <w:num w:numId="12">
    <w:abstractNumId w:val="41"/>
  </w:num>
  <w:num w:numId="13">
    <w:abstractNumId w:val="6"/>
  </w:num>
  <w:num w:numId="14">
    <w:abstractNumId w:val="54"/>
  </w:num>
  <w:num w:numId="15">
    <w:abstractNumId w:val="7"/>
  </w:num>
  <w:num w:numId="16">
    <w:abstractNumId w:val="27"/>
  </w:num>
  <w:num w:numId="17">
    <w:abstractNumId w:val="39"/>
  </w:num>
  <w:num w:numId="18">
    <w:abstractNumId w:val="59"/>
  </w:num>
  <w:num w:numId="19">
    <w:abstractNumId w:val="49"/>
  </w:num>
  <w:num w:numId="20">
    <w:abstractNumId w:val="4"/>
  </w:num>
  <w:num w:numId="21">
    <w:abstractNumId w:val="3"/>
  </w:num>
  <w:num w:numId="22">
    <w:abstractNumId w:val="42"/>
    <w:lvlOverride w:ilvl="0">
      <w:lvl w:ilvl="0">
        <w:start w:val="1"/>
        <w:numFmt w:val="decimal"/>
        <w:lvlText w:val="%1."/>
        <w:lvlJc w:val="left"/>
        <w:pPr>
          <w:ind w:left="0" w:firstLine="0"/>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33"/>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4">
    <w:abstractNumId w:val="4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 w:ilvl="0">
        <w:start w:val="1"/>
        <w:numFmt w:val="decimal"/>
        <w:lvlText w:val="%1."/>
        <w:lvlJc w:val="left"/>
        <w:pPr>
          <w:ind w:left="0" w:firstLine="0"/>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42"/>
    <w:lvlOverride w:ilvl="0">
      <w:startOverride w:val="1"/>
      <w:lvl w:ilvl="0">
        <w:start w:val="1"/>
        <w:numFmt w:val="decimal"/>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8">
    <w:abstractNumId w:val="42"/>
    <w:lvlOverride w:ilvl="0">
      <w:startOverride w:val="1"/>
      <w:lvl w:ilvl="0">
        <w:start w:val="1"/>
        <w:numFmt w:val="decimal"/>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42"/>
    <w:lvlOverride w:ilvl="0">
      <w:startOverride w:val="1"/>
      <w:lvl w:ilvl="0">
        <w:start w:val="1"/>
        <w:numFmt w:val="decimal"/>
        <w:lvlText w:val="%1."/>
        <w:lvlJc w:val="left"/>
        <w:pPr>
          <w:ind w:left="0" w:firstLine="0"/>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33"/>
    <w:lvlOverride w:ilvl="0">
      <w:lvl w:ilvl="0">
        <w:start w:val="1"/>
        <w:numFmt w:val="decimal"/>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33"/>
    <w:lvlOverride w:ilvl="0">
      <w:lvl w:ilvl="0">
        <w:start w:val="1"/>
        <w:numFmt w:val="decimal"/>
        <w:lvlText w:val="%1."/>
        <w:lvlJc w:val="left"/>
        <w:pPr>
          <w:ind w:left="0" w:firstLine="0"/>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53"/>
  </w:num>
  <w:num w:numId="33">
    <w:abstractNumId w:val="33"/>
    <w:lvlOverride w:ilvl="0">
      <w:startOverride w:val="1"/>
      <w:lvl w:ilvl="0">
        <w:start w:val="1"/>
        <w:numFmt w:val="decimal"/>
        <w:lvlText w:val="%1."/>
        <w:lvlJc w:val="left"/>
        <w:pPr>
          <w:ind w:left="0" w:firstLine="0"/>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33"/>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b w:val="0"/>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38"/>
  </w:num>
  <w:num w:numId="36">
    <w:abstractNumId w:val="15"/>
  </w:num>
  <w:num w:numId="37">
    <w:abstractNumId w:val="61"/>
  </w:num>
  <w:num w:numId="38">
    <w:abstractNumId w:val="44"/>
  </w:num>
  <w:num w:numId="39">
    <w:abstractNumId w:val="60"/>
  </w:num>
  <w:num w:numId="40">
    <w:abstractNumId w:val="14"/>
  </w:num>
  <w:num w:numId="41">
    <w:abstractNumId w:val="13"/>
  </w:num>
  <w:num w:numId="42">
    <w:abstractNumId w:val="24"/>
  </w:num>
  <w:num w:numId="43">
    <w:abstractNumId w:val="16"/>
  </w:num>
  <w:num w:numId="44">
    <w:abstractNumId w:val="43"/>
  </w:num>
  <w:num w:numId="45">
    <w:abstractNumId w:val="58"/>
  </w:num>
  <w:num w:numId="46">
    <w:abstractNumId w:val="30"/>
  </w:num>
  <w:num w:numId="47">
    <w:abstractNumId w:val="40"/>
  </w:num>
  <w:num w:numId="48">
    <w:abstractNumId w:val="25"/>
  </w:num>
  <w:num w:numId="49">
    <w:abstractNumId w:val="66"/>
  </w:num>
  <w:num w:numId="50">
    <w:abstractNumId w:val="65"/>
  </w:num>
  <w:num w:numId="51">
    <w:abstractNumId w:val="20"/>
  </w:num>
  <w:num w:numId="52">
    <w:abstractNumId w:val="11"/>
  </w:num>
  <w:num w:numId="53">
    <w:abstractNumId w:val="23"/>
  </w:num>
  <w:num w:numId="54">
    <w:abstractNumId w:val="31"/>
  </w:num>
  <w:num w:numId="55">
    <w:abstractNumId w:val="62"/>
  </w:num>
  <w:num w:numId="56">
    <w:abstractNumId w:val="36"/>
  </w:num>
  <w:num w:numId="57">
    <w:abstractNumId w:val="10"/>
  </w:num>
  <w:num w:numId="58">
    <w:abstractNumId w:val="45"/>
  </w:num>
  <w:num w:numId="59">
    <w:abstractNumId w:val="9"/>
  </w:num>
  <w:num w:numId="60">
    <w:abstractNumId w:val="51"/>
  </w:num>
  <w:num w:numId="61">
    <w:abstractNumId w:val="21"/>
    <w:lvlOverride w:ilvl="0">
      <w:lvl w:ilvl="0">
        <w:start w:val="1"/>
        <w:numFmt w:val="decimal"/>
        <w:lvlText w:val="%1."/>
        <w:lvlJc w:val="left"/>
        <w:pPr>
          <w:ind w:left="0" w:firstLine="0"/>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2">
    <w:abstractNumId w:val="28"/>
  </w:num>
  <w:num w:numId="63">
    <w:abstractNumId w:val="8"/>
  </w:num>
  <w:num w:numId="64">
    <w:abstractNumId w:val="19"/>
  </w:num>
  <w:num w:numId="65">
    <w:abstractNumId w:val="55"/>
  </w:num>
  <w:num w:numId="66">
    <w:abstractNumId w:val="1"/>
  </w:num>
  <w:num w:numId="67">
    <w:abstractNumId w:val="32"/>
  </w:num>
  <w:num w:numId="68">
    <w:abstractNumId w:val="35"/>
  </w:num>
  <w:num w:numId="69">
    <w:abstractNumId w:val="2"/>
  </w:num>
  <w:num w:numId="70">
    <w:abstractNumId w:val="47"/>
  </w:num>
  <w:num w:numId="71">
    <w:abstractNumId w:val="42"/>
    <w:lvlOverride w:ilvl="0">
      <w:lvl w:ilvl="0">
        <w:start w:val="1"/>
        <w:numFmt w:val="decimal"/>
        <w:lvlText w:val="%1."/>
        <w:lvlJc w:val="left"/>
        <w:pPr>
          <w:ind w:left="425" w:hanging="425"/>
        </w:pPr>
        <w:rPr>
          <w:rFonts w:ascii="Arial" w:hAnsi="Arial" w:hint="default"/>
          <w:b w:val="0"/>
        </w:rPr>
      </w:lvl>
    </w:lvlOverride>
    <w:lvlOverride w:ilvl="1">
      <w:lvl w:ilvl="1">
        <w:start w:val="1"/>
        <w:numFmt w:val="lowerLetter"/>
        <w:lvlText w:val="%2)"/>
        <w:lvlJc w:val="left"/>
        <w:pPr>
          <w:ind w:left="425" w:hanging="425"/>
        </w:pPr>
        <w:rPr>
          <w:rFonts w:ascii="Arial" w:hAnsi="Arial" w:cs="Times New Roman" w:hint="default"/>
          <w:color w:val="auto"/>
        </w:rPr>
      </w:lvl>
    </w:lvlOverride>
    <w:lvlOverride w:ilvl="2">
      <w:lvl w:ilvl="2">
        <w:start w:val="1"/>
        <w:numFmt w:val="bullet"/>
        <w:lvlText w:val=""/>
        <w:lvlJc w:val="left"/>
        <w:pPr>
          <w:ind w:left="425" w:hanging="425"/>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2">
    <w:abstractNumId w:val="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trackedChanges" w:enforcement="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4280"/>
    <w:rsid w:val="00005504"/>
    <w:rsid w:val="00005E4C"/>
    <w:rsid w:val="00006FCF"/>
    <w:rsid w:val="00007590"/>
    <w:rsid w:val="0001017C"/>
    <w:rsid w:val="00012E31"/>
    <w:rsid w:val="000133F7"/>
    <w:rsid w:val="0001362C"/>
    <w:rsid w:val="00013A86"/>
    <w:rsid w:val="00014341"/>
    <w:rsid w:val="00014623"/>
    <w:rsid w:val="000167A5"/>
    <w:rsid w:val="0001740F"/>
    <w:rsid w:val="00017D36"/>
    <w:rsid w:val="000209DD"/>
    <w:rsid w:val="00020C5D"/>
    <w:rsid w:val="00021A6C"/>
    <w:rsid w:val="00021AB0"/>
    <w:rsid w:val="00024C34"/>
    <w:rsid w:val="0002625F"/>
    <w:rsid w:val="000267E1"/>
    <w:rsid w:val="000276FA"/>
    <w:rsid w:val="0003008B"/>
    <w:rsid w:val="000305BA"/>
    <w:rsid w:val="00030B78"/>
    <w:rsid w:val="00031232"/>
    <w:rsid w:val="0003139B"/>
    <w:rsid w:val="00031B19"/>
    <w:rsid w:val="00031D19"/>
    <w:rsid w:val="000329C6"/>
    <w:rsid w:val="00032A4A"/>
    <w:rsid w:val="00032C80"/>
    <w:rsid w:val="00032D19"/>
    <w:rsid w:val="00032F0D"/>
    <w:rsid w:val="0003320F"/>
    <w:rsid w:val="0003372A"/>
    <w:rsid w:val="00033E96"/>
    <w:rsid w:val="00036487"/>
    <w:rsid w:val="00037F1A"/>
    <w:rsid w:val="0004070E"/>
    <w:rsid w:val="00040A13"/>
    <w:rsid w:val="000410C3"/>
    <w:rsid w:val="0004139A"/>
    <w:rsid w:val="0004142B"/>
    <w:rsid w:val="000428A6"/>
    <w:rsid w:val="00042BF4"/>
    <w:rsid w:val="00042C65"/>
    <w:rsid w:val="00043073"/>
    <w:rsid w:val="00043DBC"/>
    <w:rsid w:val="0004411F"/>
    <w:rsid w:val="0004481F"/>
    <w:rsid w:val="00044FE1"/>
    <w:rsid w:val="000473E0"/>
    <w:rsid w:val="00051BDD"/>
    <w:rsid w:val="0006273C"/>
    <w:rsid w:val="00062DC3"/>
    <w:rsid w:val="00063B8B"/>
    <w:rsid w:val="00064FAA"/>
    <w:rsid w:val="00066BF8"/>
    <w:rsid w:val="00070C4F"/>
    <w:rsid w:val="00074C3B"/>
    <w:rsid w:val="00074EB1"/>
    <w:rsid w:val="0008068E"/>
    <w:rsid w:val="00080D8C"/>
    <w:rsid w:val="00080F6F"/>
    <w:rsid w:val="00086969"/>
    <w:rsid w:val="000875D6"/>
    <w:rsid w:val="00087F23"/>
    <w:rsid w:val="000903FD"/>
    <w:rsid w:val="00091AC8"/>
    <w:rsid w:val="00093836"/>
    <w:rsid w:val="000944AD"/>
    <w:rsid w:val="00094F52"/>
    <w:rsid w:val="0009661F"/>
    <w:rsid w:val="00097E7E"/>
    <w:rsid w:val="000A0003"/>
    <w:rsid w:val="000A18EB"/>
    <w:rsid w:val="000A1DEB"/>
    <w:rsid w:val="000A4BC1"/>
    <w:rsid w:val="000A4E0F"/>
    <w:rsid w:val="000A6772"/>
    <w:rsid w:val="000B263F"/>
    <w:rsid w:val="000B53A7"/>
    <w:rsid w:val="000B7CFE"/>
    <w:rsid w:val="000C0AAD"/>
    <w:rsid w:val="000C38A5"/>
    <w:rsid w:val="000C44AF"/>
    <w:rsid w:val="000C4FCA"/>
    <w:rsid w:val="000C58AF"/>
    <w:rsid w:val="000C615A"/>
    <w:rsid w:val="000D162C"/>
    <w:rsid w:val="000D4BB6"/>
    <w:rsid w:val="000D5209"/>
    <w:rsid w:val="000D6698"/>
    <w:rsid w:val="000D6F69"/>
    <w:rsid w:val="000E13D1"/>
    <w:rsid w:val="000E1690"/>
    <w:rsid w:val="000F05F3"/>
    <w:rsid w:val="000F1236"/>
    <w:rsid w:val="000F1E59"/>
    <w:rsid w:val="000F4027"/>
    <w:rsid w:val="000F436A"/>
    <w:rsid w:val="000F6BBA"/>
    <w:rsid w:val="000F6DB1"/>
    <w:rsid w:val="001010A3"/>
    <w:rsid w:val="001019CF"/>
    <w:rsid w:val="00103279"/>
    <w:rsid w:val="00103CA7"/>
    <w:rsid w:val="0010688E"/>
    <w:rsid w:val="00110127"/>
    <w:rsid w:val="0011040A"/>
    <w:rsid w:val="0011065C"/>
    <w:rsid w:val="00110F15"/>
    <w:rsid w:val="001114A6"/>
    <w:rsid w:val="00111F34"/>
    <w:rsid w:val="001120B7"/>
    <w:rsid w:val="00113436"/>
    <w:rsid w:val="00113864"/>
    <w:rsid w:val="001138B0"/>
    <w:rsid w:val="00116F06"/>
    <w:rsid w:val="001171C6"/>
    <w:rsid w:val="0011725E"/>
    <w:rsid w:val="001175DE"/>
    <w:rsid w:val="00121063"/>
    <w:rsid w:val="00121E45"/>
    <w:rsid w:val="0012369C"/>
    <w:rsid w:val="00124908"/>
    <w:rsid w:val="00125EE4"/>
    <w:rsid w:val="00126259"/>
    <w:rsid w:val="00130B60"/>
    <w:rsid w:val="001347F3"/>
    <w:rsid w:val="00134916"/>
    <w:rsid w:val="0013799C"/>
    <w:rsid w:val="001401F1"/>
    <w:rsid w:val="00140248"/>
    <w:rsid w:val="00143A32"/>
    <w:rsid w:val="0014574E"/>
    <w:rsid w:val="00147113"/>
    <w:rsid w:val="001513D2"/>
    <w:rsid w:val="0015159F"/>
    <w:rsid w:val="001524B2"/>
    <w:rsid w:val="001537F6"/>
    <w:rsid w:val="0015578D"/>
    <w:rsid w:val="001608DB"/>
    <w:rsid w:val="001619AD"/>
    <w:rsid w:val="00162506"/>
    <w:rsid w:val="00165326"/>
    <w:rsid w:val="00166AE3"/>
    <w:rsid w:val="0016719E"/>
    <w:rsid w:val="001673F2"/>
    <w:rsid w:val="00170BEE"/>
    <w:rsid w:val="0017134C"/>
    <w:rsid w:val="00172F2B"/>
    <w:rsid w:val="00176787"/>
    <w:rsid w:val="00176A1C"/>
    <w:rsid w:val="001802B3"/>
    <w:rsid w:val="0018058B"/>
    <w:rsid w:val="00180770"/>
    <w:rsid w:val="00180E72"/>
    <w:rsid w:val="00181A9A"/>
    <w:rsid w:val="0018250C"/>
    <w:rsid w:val="00182533"/>
    <w:rsid w:val="00183192"/>
    <w:rsid w:val="001831B3"/>
    <w:rsid w:val="0018369A"/>
    <w:rsid w:val="00184FB2"/>
    <w:rsid w:val="001850AF"/>
    <w:rsid w:val="00187210"/>
    <w:rsid w:val="00192D5E"/>
    <w:rsid w:val="00192ECA"/>
    <w:rsid w:val="00195B42"/>
    <w:rsid w:val="001976C7"/>
    <w:rsid w:val="001A0ECC"/>
    <w:rsid w:val="001A4602"/>
    <w:rsid w:val="001A548B"/>
    <w:rsid w:val="001A5735"/>
    <w:rsid w:val="001B0794"/>
    <w:rsid w:val="001B0DF2"/>
    <w:rsid w:val="001B2780"/>
    <w:rsid w:val="001B38F0"/>
    <w:rsid w:val="001B49D3"/>
    <w:rsid w:val="001B7D6C"/>
    <w:rsid w:val="001C0172"/>
    <w:rsid w:val="001C1E53"/>
    <w:rsid w:val="001C1F27"/>
    <w:rsid w:val="001C316C"/>
    <w:rsid w:val="001C34A8"/>
    <w:rsid w:val="001C3A35"/>
    <w:rsid w:val="001C3CAC"/>
    <w:rsid w:val="001C41CC"/>
    <w:rsid w:val="001C60F0"/>
    <w:rsid w:val="001D1CE9"/>
    <w:rsid w:val="001D280B"/>
    <w:rsid w:val="001D2CF1"/>
    <w:rsid w:val="001D568D"/>
    <w:rsid w:val="001D575D"/>
    <w:rsid w:val="001D6B56"/>
    <w:rsid w:val="001D6CB4"/>
    <w:rsid w:val="001E3FA1"/>
    <w:rsid w:val="001E46FD"/>
    <w:rsid w:val="001E5D67"/>
    <w:rsid w:val="001E6601"/>
    <w:rsid w:val="001E6CCA"/>
    <w:rsid w:val="001F1958"/>
    <w:rsid w:val="001F2675"/>
    <w:rsid w:val="001F36B4"/>
    <w:rsid w:val="001F4F6D"/>
    <w:rsid w:val="001F592E"/>
    <w:rsid w:val="001F6138"/>
    <w:rsid w:val="001F6C48"/>
    <w:rsid w:val="001F7286"/>
    <w:rsid w:val="002022CF"/>
    <w:rsid w:val="00203A2D"/>
    <w:rsid w:val="00207631"/>
    <w:rsid w:val="00207762"/>
    <w:rsid w:val="00207830"/>
    <w:rsid w:val="00211A3B"/>
    <w:rsid w:val="002142A5"/>
    <w:rsid w:val="00217DB6"/>
    <w:rsid w:val="00220720"/>
    <w:rsid w:val="00221D4E"/>
    <w:rsid w:val="002234AF"/>
    <w:rsid w:val="00224F95"/>
    <w:rsid w:val="002310C3"/>
    <w:rsid w:val="00232FE9"/>
    <w:rsid w:val="00235A99"/>
    <w:rsid w:val="0023684D"/>
    <w:rsid w:val="00237E46"/>
    <w:rsid w:val="0024032C"/>
    <w:rsid w:val="002416BE"/>
    <w:rsid w:val="0024183D"/>
    <w:rsid w:val="002421D2"/>
    <w:rsid w:val="002427AC"/>
    <w:rsid w:val="00243057"/>
    <w:rsid w:val="0024313B"/>
    <w:rsid w:val="0024365D"/>
    <w:rsid w:val="00244A1A"/>
    <w:rsid w:val="00245655"/>
    <w:rsid w:val="00246427"/>
    <w:rsid w:val="00246E62"/>
    <w:rsid w:val="002479C6"/>
    <w:rsid w:val="00250102"/>
    <w:rsid w:val="00251F4D"/>
    <w:rsid w:val="00255265"/>
    <w:rsid w:val="0025543E"/>
    <w:rsid w:val="00255A94"/>
    <w:rsid w:val="002577A8"/>
    <w:rsid w:val="00257A23"/>
    <w:rsid w:val="00261988"/>
    <w:rsid w:val="00262EFC"/>
    <w:rsid w:val="002677D2"/>
    <w:rsid w:val="002731BE"/>
    <w:rsid w:val="00275EE0"/>
    <w:rsid w:val="002768DC"/>
    <w:rsid w:val="00282841"/>
    <w:rsid w:val="002834AA"/>
    <w:rsid w:val="00283869"/>
    <w:rsid w:val="00283A92"/>
    <w:rsid w:val="0028413E"/>
    <w:rsid w:val="002845EC"/>
    <w:rsid w:val="00285A7C"/>
    <w:rsid w:val="00286357"/>
    <w:rsid w:val="002867A9"/>
    <w:rsid w:val="00286883"/>
    <w:rsid w:val="0028694E"/>
    <w:rsid w:val="002907CE"/>
    <w:rsid w:val="00295479"/>
    <w:rsid w:val="00296BBE"/>
    <w:rsid w:val="00297C44"/>
    <w:rsid w:val="002A03F6"/>
    <w:rsid w:val="002A1713"/>
    <w:rsid w:val="002A1C3E"/>
    <w:rsid w:val="002A28EC"/>
    <w:rsid w:val="002A3121"/>
    <w:rsid w:val="002A31C9"/>
    <w:rsid w:val="002A3268"/>
    <w:rsid w:val="002A59A5"/>
    <w:rsid w:val="002A7505"/>
    <w:rsid w:val="002B04B0"/>
    <w:rsid w:val="002B3F17"/>
    <w:rsid w:val="002B4312"/>
    <w:rsid w:val="002B4532"/>
    <w:rsid w:val="002B550C"/>
    <w:rsid w:val="002B6566"/>
    <w:rsid w:val="002B659A"/>
    <w:rsid w:val="002B6C89"/>
    <w:rsid w:val="002B6CAF"/>
    <w:rsid w:val="002C1BD3"/>
    <w:rsid w:val="002C1DF4"/>
    <w:rsid w:val="002C25CE"/>
    <w:rsid w:val="002C2D4B"/>
    <w:rsid w:val="002C330D"/>
    <w:rsid w:val="002C3391"/>
    <w:rsid w:val="002C3A2C"/>
    <w:rsid w:val="002C4706"/>
    <w:rsid w:val="002C4B81"/>
    <w:rsid w:val="002C4DE2"/>
    <w:rsid w:val="002C5453"/>
    <w:rsid w:val="002C606A"/>
    <w:rsid w:val="002D00F0"/>
    <w:rsid w:val="002D04D5"/>
    <w:rsid w:val="002D1AF7"/>
    <w:rsid w:val="002D1FFB"/>
    <w:rsid w:val="002D322F"/>
    <w:rsid w:val="002D34F9"/>
    <w:rsid w:val="002D53AF"/>
    <w:rsid w:val="002D615F"/>
    <w:rsid w:val="002E0395"/>
    <w:rsid w:val="002E0618"/>
    <w:rsid w:val="002E0792"/>
    <w:rsid w:val="002E07CB"/>
    <w:rsid w:val="002E1945"/>
    <w:rsid w:val="002E25EF"/>
    <w:rsid w:val="002E599D"/>
    <w:rsid w:val="002E6ACA"/>
    <w:rsid w:val="002F169F"/>
    <w:rsid w:val="00303AE2"/>
    <w:rsid w:val="00303BC6"/>
    <w:rsid w:val="00303FEC"/>
    <w:rsid w:val="00305D89"/>
    <w:rsid w:val="00306953"/>
    <w:rsid w:val="00306C9E"/>
    <w:rsid w:val="0030774E"/>
    <w:rsid w:val="00307F9E"/>
    <w:rsid w:val="0031348A"/>
    <w:rsid w:val="00314613"/>
    <w:rsid w:val="0031520D"/>
    <w:rsid w:val="00315C85"/>
    <w:rsid w:val="00317D0C"/>
    <w:rsid w:val="003210A2"/>
    <w:rsid w:val="003211F0"/>
    <w:rsid w:val="00321C9A"/>
    <w:rsid w:val="003237A8"/>
    <w:rsid w:val="00323FB5"/>
    <w:rsid w:val="00323FCD"/>
    <w:rsid w:val="003244F5"/>
    <w:rsid w:val="00327391"/>
    <w:rsid w:val="00331CEA"/>
    <w:rsid w:val="00333F1D"/>
    <w:rsid w:val="0033429F"/>
    <w:rsid w:val="00334861"/>
    <w:rsid w:val="00334D6C"/>
    <w:rsid w:val="00335249"/>
    <w:rsid w:val="003354C4"/>
    <w:rsid w:val="0033705F"/>
    <w:rsid w:val="00337BB6"/>
    <w:rsid w:val="00340B06"/>
    <w:rsid w:val="00341467"/>
    <w:rsid w:val="003424DA"/>
    <w:rsid w:val="00342544"/>
    <w:rsid w:val="0034305C"/>
    <w:rsid w:val="00346BA2"/>
    <w:rsid w:val="003472D7"/>
    <w:rsid w:val="003474A5"/>
    <w:rsid w:val="00350802"/>
    <w:rsid w:val="0035236D"/>
    <w:rsid w:val="0035240B"/>
    <w:rsid w:val="00353E06"/>
    <w:rsid w:val="003557AF"/>
    <w:rsid w:val="00355860"/>
    <w:rsid w:val="003566FD"/>
    <w:rsid w:val="00356F1C"/>
    <w:rsid w:val="00357D36"/>
    <w:rsid w:val="003607E7"/>
    <w:rsid w:val="00361732"/>
    <w:rsid w:val="003626B5"/>
    <w:rsid w:val="00363B33"/>
    <w:rsid w:val="00366CB1"/>
    <w:rsid w:val="00372033"/>
    <w:rsid w:val="0037612C"/>
    <w:rsid w:val="0037720C"/>
    <w:rsid w:val="003778F0"/>
    <w:rsid w:val="00377C2C"/>
    <w:rsid w:val="00382951"/>
    <w:rsid w:val="00384C94"/>
    <w:rsid w:val="00385799"/>
    <w:rsid w:val="003863E2"/>
    <w:rsid w:val="003905AD"/>
    <w:rsid w:val="003907ED"/>
    <w:rsid w:val="00391684"/>
    <w:rsid w:val="003921C0"/>
    <w:rsid w:val="00392D36"/>
    <w:rsid w:val="003943D7"/>
    <w:rsid w:val="003965D2"/>
    <w:rsid w:val="00396A2A"/>
    <w:rsid w:val="0039756E"/>
    <w:rsid w:val="003A012C"/>
    <w:rsid w:val="003A0336"/>
    <w:rsid w:val="003A0FD2"/>
    <w:rsid w:val="003A21BD"/>
    <w:rsid w:val="003A6A5B"/>
    <w:rsid w:val="003A72EF"/>
    <w:rsid w:val="003B013A"/>
    <w:rsid w:val="003B0197"/>
    <w:rsid w:val="003B0A25"/>
    <w:rsid w:val="003B18DD"/>
    <w:rsid w:val="003B1FFE"/>
    <w:rsid w:val="003B4896"/>
    <w:rsid w:val="003B5E37"/>
    <w:rsid w:val="003B6BC4"/>
    <w:rsid w:val="003C04E5"/>
    <w:rsid w:val="003C08B3"/>
    <w:rsid w:val="003C0FC0"/>
    <w:rsid w:val="003C159E"/>
    <w:rsid w:val="003C1BB2"/>
    <w:rsid w:val="003C1C86"/>
    <w:rsid w:val="003C2793"/>
    <w:rsid w:val="003C2845"/>
    <w:rsid w:val="003C4301"/>
    <w:rsid w:val="003C4B58"/>
    <w:rsid w:val="003C751B"/>
    <w:rsid w:val="003D1461"/>
    <w:rsid w:val="003D16B0"/>
    <w:rsid w:val="003D16B4"/>
    <w:rsid w:val="003D2346"/>
    <w:rsid w:val="003D25D0"/>
    <w:rsid w:val="003D4E41"/>
    <w:rsid w:val="003E04EA"/>
    <w:rsid w:val="003E0CFA"/>
    <w:rsid w:val="003E1F97"/>
    <w:rsid w:val="003E4578"/>
    <w:rsid w:val="003E62AD"/>
    <w:rsid w:val="003E6675"/>
    <w:rsid w:val="003E7DB8"/>
    <w:rsid w:val="003F005C"/>
    <w:rsid w:val="003F07E9"/>
    <w:rsid w:val="003F10A6"/>
    <w:rsid w:val="003F175E"/>
    <w:rsid w:val="003F1827"/>
    <w:rsid w:val="003F4485"/>
    <w:rsid w:val="00400D6D"/>
    <w:rsid w:val="00402321"/>
    <w:rsid w:val="00404EE4"/>
    <w:rsid w:val="00405E70"/>
    <w:rsid w:val="0040627E"/>
    <w:rsid w:val="00407332"/>
    <w:rsid w:val="004102AB"/>
    <w:rsid w:val="004127A0"/>
    <w:rsid w:val="004135AD"/>
    <w:rsid w:val="00414EAB"/>
    <w:rsid w:val="00416A02"/>
    <w:rsid w:val="004172A9"/>
    <w:rsid w:val="004205D0"/>
    <w:rsid w:val="004212E0"/>
    <w:rsid w:val="00423749"/>
    <w:rsid w:val="00423780"/>
    <w:rsid w:val="004260E7"/>
    <w:rsid w:val="00426B17"/>
    <w:rsid w:val="00426FC1"/>
    <w:rsid w:val="00427451"/>
    <w:rsid w:val="00430314"/>
    <w:rsid w:val="004303B6"/>
    <w:rsid w:val="00430A71"/>
    <w:rsid w:val="0043115C"/>
    <w:rsid w:val="00431402"/>
    <w:rsid w:val="00432573"/>
    <w:rsid w:val="00433EF6"/>
    <w:rsid w:val="00434FC3"/>
    <w:rsid w:val="004352CB"/>
    <w:rsid w:val="0043576F"/>
    <w:rsid w:val="0043598A"/>
    <w:rsid w:val="004368E0"/>
    <w:rsid w:val="00437F49"/>
    <w:rsid w:val="00440503"/>
    <w:rsid w:val="00442A3F"/>
    <w:rsid w:val="0044454F"/>
    <w:rsid w:val="004451E6"/>
    <w:rsid w:val="00445FB9"/>
    <w:rsid w:val="0045013E"/>
    <w:rsid w:val="00451D4F"/>
    <w:rsid w:val="00452BDC"/>
    <w:rsid w:val="00457349"/>
    <w:rsid w:val="00460325"/>
    <w:rsid w:val="00461034"/>
    <w:rsid w:val="00462042"/>
    <w:rsid w:val="00463833"/>
    <w:rsid w:val="00463FF4"/>
    <w:rsid w:val="004651A8"/>
    <w:rsid w:val="0046633F"/>
    <w:rsid w:val="00467BD5"/>
    <w:rsid w:val="004708EE"/>
    <w:rsid w:val="00472466"/>
    <w:rsid w:val="00472A5A"/>
    <w:rsid w:val="00472F82"/>
    <w:rsid w:val="00474956"/>
    <w:rsid w:val="00476001"/>
    <w:rsid w:val="0048044E"/>
    <w:rsid w:val="0048318E"/>
    <w:rsid w:val="00483B10"/>
    <w:rsid w:val="00483DE8"/>
    <w:rsid w:val="0048449B"/>
    <w:rsid w:val="004852A0"/>
    <w:rsid w:val="00486739"/>
    <w:rsid w:val="004869D9"/>
    <w:rsid w:val="00486E0F"/>
    <w:rsid w:val="00487D3D"/>
    <w:rsid w:val="00487E0B"/>
    <w:rsid w:val="00490BFB"/>
    <w:rsid w:val="00491C5A"/>
    <w:rsid w:val="004924B8"/>
    <w:rsid w:val="00492678"/>
    <w:rsid w:val="00493276"/>
    <w:rsid w:val="0049425B"/>
    <w:rsid w:val="0049701B"/>
    <w:rsid w:val="004977B3"/>
    <w:rsid w:val="004A131D"/>
    <w:rsid w:val="004A167E"/>
    <w:rsid w:val="004A2141"/>
    <w:rsid w:val="004A35D0"/>
    <w:rsid w:val="004A387F"/>
    <w:rsid w:val="004A3EBC"/>
    <w:rsid w:val="004A4080"/>
    <w:rsid w:val="004A42FF"/>
    <w:rsid w:val="004A5C9C"/>
    <w:rsid w:val="004A6516"/>
    <w:rsid w:val="004B0126"/>
    <w:rsid w:val="004B1864"/>
    <w:rsid w:val="004B35D8"/>
    <w:rsid w:val="004B7419"/>
    <w:rsid w:val="004C0453"/>
    <w:rsid w:val="004C0DA2"/>
    <w:rsid w:val="004C2983"/>
    <w:rsid w:val="004C56E0"/>
    <w:rsid w:val="004C5735"/>
    <w:rsid w:val="004C775C"/>
    <w:rsid w:val="004D1B9B"/>
    <w:rsid w:val="004D49ED"/>
    <w:rsid w:val="004D4CD9"/>
    <w:rsid w:val="004E4380"/>
    <w:rsid w:val="004E4981"/>
    <w:rsid w:val="004E5211"/>
    <w:rsid w:val="004E5FD1"/>
    <w:rsid w:val="004E7203"/>
    <w:rsid w:val="004F03B6"/>
    <w:rsid w:val="004F45D1"/>
    <w:rsid w:val="004F4C26"/>
    <w:rsid w:val="004F50E0"/>
    <w:rsid w:val="004F6154"/>
    <w:rsid w:val="00501D7F"/>
    <w:rsid w:val="00502B08"/>
    <w:rsid w:val="00503662"/>
    <w:rsid w:val="00504155"/>
    <w:rsid w:val="00504887"/>
    <w:rsid w:val="0050497B"/>
    <w:rsid w:val="00504D29"/>
    <w:rsid w:val="00506644"/>
    <w:rsid w:val="00506A0E"/>
    <w:rsid w:val="0051093F"/>
    <w:rsid w:val="00510CB3"/>
    <w:rsid w:val="0051488D"/>
    <w:rsid w:val="00514F2B"/>
    <w:rsid w:val="005154DF"/>
    <w:rsid w:val="00517BCE"/>
    <w:rsid w:val="0052013D"/>
    <w:rsid w:val="005204EC"/>
    <w:rsid w:val="00520FDC"/>
    <w:rsid w:val="00522AEA"/>
    <w:rsid w:val="00524F40"/>
    <w:rsid w:val="005273A1"/>
    <w:rsid w:val="00527B06"/>
    <w:rsid w:val="00531A22"/>
    <w:rsid w:val="00534903"/>
    <w:rsid w:val="00534A2F"/>
    <w:rsid w:val="005400E1"/>
    <w:rsid w:val="005448A6"/>
    <w:rsid w:val="00546BB3"/>
    <w:rsid w:val="00547498"/>
    <w:rsid w:val="00555EBD"/>
    <w:rsid w:val="00556E4F"/>
    <w:rsid w:val="00557D69"/>
    <w:rsid w:val="00561050"/>
    <w:rsid w:val="0056622A"/>
    <w:rsid w:val="00571A05"/>
    <w:rsid w:val="00571C7B"/>
    <w:rsid w:val="00572329"/>
    <w:rsid w:val="00572D8E"/>
    <w:rsid w:val="00573009"/>
    <w:rsid w:val="00577F65"/>
    <w:rsid w:val="00580199"/>
    <w:rsid w:val="005808CC"/>
    <w:rsid w:val="00581CB1"/>
    <w:rsid w:val="00581E0B"/>
    <w:rsid w:val="005822C9"/>
    <w:rsid w:val="00583A03"/>
    <w:rsid w:val="005863C8"/>
    <w:rsid w:val="00590D49"/>
    <w:rsid w:val="0059244B"/>
    <w:rsid w:val="0059290A"/>
    <w:rsid w:val="005954DE"/>
    <w:rsid w:val="0059623F"/>
    <w:rsid w:val="0059676E"/>
    <w:rsid w:val="005967F1"/>
    <w:rsid w:val="005A05BF"/>
    <w:rsid w:val="005A172F"/>
    <w:rsid w:val="005A1D1B"/>
    <w:rsid w:val="005A28B1"/>
    <w:rsid w:val="005A5BE3"/>
    <w:rsid w:val="005A5EDA"/>
    <w:rsid w:val="005A6154"/>
    <w:rsid w:val="005A7784"/>
    <w:rsid w:val="005B029E"/>
    <w:rsid w:val="005B08C2"/>
    <w:rsid w:val="005B100E"/>
    <w:rsid w:val="005B12A7"/>
    <w:rsid w:val="005B1816"/>
    <w:rsid w:val="005B207B"/>
    <w:rsid w:val="005B23E1"/>
    <w:rsid w:val="005B271C"/>
    <w:rsid w:val="005B33A7"/>
    <w:rsid w:val="005B365B"/>
    <w:rsid w:val="005B3CCA"/>
    <w:rsid w:val="005B4749"/>
    <w:rsid w:val="005B48CC"/>
    <w:rsid w:val="005B490E"/>
    <w:rsid w:val="005B4A7D"/>
    <w:rsid w:val="005B546A"/>
    <w:rsid w:val="005C0DE5"/>
    <w:rsid w:val="005C5B92"/>
    <w:rsid w:val="005C7253"/>
    <w:rsid w:val="005D0A35"/>
    <w:rsid w:val="005D140B"/>
    <w:rsid w:val="005D2132"/>
    <w:rsid w:val="005D22B4"/>
    <w:rsid w:val="005D2F34"/>
    <w:rsid w:val="005D3E06"/>
    <w:rsid w:val="005D4C78"/>
    <w:rsid w:val="005D6497"/>
    <w:rsid w:val="005D7591"/>
    <w:rsid w:val="005D784B"/>
    <w:rsid w:val="005E1E1A"/>
    <w:rsid w:val="005E237D"/>
    <w:rsid w:val="005E2616"/>
    <w:rsid w:val="005E37CF"/>
    <w:rsid w:val="005E3F2C"/>
    <w:rsid w:val="005E44B3"/>
    <w:rsid w:val="005E50A4"/>
    <w:rsid w:val="005E53C8"/>
    <w:rsid w:val="005E73E2"/>
    <w:rsid w:val="005F1627"/>
    <w:rsid w:val="005F1925"/>
    <w:rsid w:val="005F3B3D"/>
    <w:rsid w:val="005F46E9"/>
    <w:rsid w:val="005F6C6F"/>
    <w:rsid w:val="005F7108"/>
    <w:rsid w:val="005F7159"/>
    <w:rsid w:val="005F73BF"/>
    <w:rsid w:val="00601B5C"/>
    <w:rsid w:val="00602053"/>
    <w:rsid w:val="00602519"/>
    <w:rsid w:val="006028A4"/>
    <w:rsid w:val="00602DA4"/>
    <w:rsid w:val="00603CFA"/>
    <w:rsid w:val="00603D2D"/>
    <w:rsid w:val="00604013"/>
    <w:rsid w:val="00605E15"/>
    <w:rsid w:val="00605FA2"/>
    <w:rsid w:val="00606045"/>
    <w:rsid w:val="00606951"/>
    <w:rsid w:val="00607F8C"/>
    <w:rsid w:val="00611068"/>
    <w:rsid w:val="00617F5A"/>
    <w:rsid w:val="00617F62"/>
    <w:rsid w:val="00623A9F"/>
    <w:rsid w:val="00623B65"/>
    <w:rsid w:val="00624057"/>
    <w:rsid w:val="0062655E"/>
    <w:rsid w:val="006270A7"/>
    <w:rsid w:val="0063021A"/>
    <w:rsid w:val="00630580"/>
    <w:rsid w:val="0063346F"/>
    <w:rsid w:val="00633CF5"/>
    <w:rsid w:val="0063444D"/>
    <w:rsid w:val="006346FD"/>
    <w:rsid w:val="00635A02"/>
    <w:rsid w:val="00636552"/>
    <w:rsid w:val="0063702B"/>
    <w:rsid w:val="00642AB7"/>
    <w:rsid w:val="00644707"/>
    <w:rsid w:val="0064471F"/>
    <w:rsid w:val="00645078"/>
    <w:rsid w:val="00645497"/>
    <w:rsid w:val="006479EB"/>
    <w:rsid w:val="006504AA"/>
    <w:rsid w:val="00651854"/>
    <w:rsid w:val="00652013"/>
    <w:rsid w:val="00652DBC"/>
    <w:rsid w:val="006531A1"/>
    <w:rsid w:val="00654380"/>
    <w:rsid w:val="00657BAB"/>
    <w:rsid w:val="00660756"/>
    <w:rsid w:val="00661088"/>
    <w:rsid w:val="0066280A"/>
    <w:rsid w:val="00663C1E"/>
    <w:rsid w:val="006640FA"/>
    <w:rsid w:val="006644DA"/>
    <w:rsid w:val="00664B7D"/>
    <w:rsid w:val="00664E65"/>
    <w:rsid w:val="006656B6"/>
    <w:rsid w:val="00665FD2"/>
    <w:rsid w:val="00666387"/>
    <w:rsid w:val="00670252"/>
    <w:rsid w:val="00670293"/>
    <w:rsid w:val="006709E2"/>
    <w:rsid w:val="00672651"/>
    <w:rsid w:val="00675216"/>
    <w:rsid w:val="00675552"/>
    <w:rsid w:val="006770CA"/>
    <w:rsid w:val="0068041B"/>
    <w:rsid w:val="00680D86"/>
    <w:rsid w:val="006813DA"/>
    <w:rsid w:val="00682950"/>
    <w:rsid w:val="006852B3"/>
    <w:rsid w:val="0068762D"/>
    <w:rsid w:val="006876B0"/>
    <w:rsid w:val="0068783E"/>
    <w:rsid w:val="006878D9"/>
    <w:rsid w:val="00690316"/>
    <w:rsid w:val="00692B25"/>
    <w:rsid w:val="00692BA0"/>
    <w:rsid w:val="00692D9B"/>
    <w:rsid w:val="0069301C"/>
    <w:rsid w:val="00693684"/>
    <w:rsid w:val="00694512"/>
    <w:rsid w:val="00696D61"/>
    <w:rsid w:val="006A055D"/>
    <w:rsid w:val="006A1723"/>
    <w:rsid w:val="006A1A1D"/>
    <w:rsid w:val="006A331B"/>
    <w:rsid w:val="006A465A"/>
    <w:rsid w:val="006A6C01"/>
    <w:rsid w:val="006A79E3"/>
    <w:rsid w:val="006B0B70"/>
    <w:rsid w:val="006B4A94"/>
    <w:rsid w:val="006B60F8"/>
    <w:rsid w:val="006B6FDA"/>
    <w:rsid w:val="006C21BB"/>
    <w:rsid w:val="006C2AD0"/>
    <w:rsid w:val="006C2EDA"/>
    <w:rsid w:val="006C369E"/>
    <w:rsid w:val="006D3FDB"/>
    <w:rsid w:val="006D4F58"/>
    <w:rsid w:val="006D7A6D"/>
    <w:rsid w:val="006E0300"/>
    <w:rsid w:val="006E1010"/>
    <w:rsid w:val="006E25FC"/>
    <w:rsid w:val="006E2F48"/>
    <w:rsid w:val="006E4DD6"/>
    <w:rsid w:val="006E5141"/>
    <w:rsid w:val="006E5EBA"/>
    <w:rsid w:val="006E610C"/>
    <w:rsid w:val="006F1FF7"/>
    <w:rsid w:val="006F2086"/>
    <w:rsid w:val="006F2BD9"/>
    <w:rsid w:val="006F2D9B"/>
    <w:rsid w:val="006F3FE0"/>
    <w:rsid w:val="00700AB1"/>
    <w:rsid w:val="007010C9"/>
    <w:rsid w:val="007012E1"/>
    <w:rsid w:val="007013F0"/>
    <w:rsid w:val="00701D68"/>
    <w:rsid w:val="007024AB"/>
    <w:rsid w:val="0070303C"/>
    <w:rsid w:val="007041D4"/>
    <w:rsid w:val="00706FDF"/>
    <w:rsid w:val="00710D44"/>
    <w:rsid w:val="00716D6B"/>
    <w:rsid w:val="00717BF3"/>
    <w:rsid w:val="00720506"/>
    <w:rsid w:val="00720B55"/>
    <w:rsid w:val="00720C8C"/>
    <w:rsid w:val="0072111B"/>
    <w:rsid w:val="00722436"/>
    <w:rsid w:val="007225F4"/>
    <w:rsid w:val="0072594F"/>
    <w:rsid w:val="00733C9E"/>
    <w:rsid w:val="00737D1D"/>
    <w:rsid w:val="007405A4"/>
    <w:rsid w:val="0074111F"/>
    <w:rsid w:val="00742CD1"/>
    <w:rsid w:val="00744C38"/>
    <w:rsid w:val="00745A1F"/>
    <w:rsid w:val="00746853"/>
    <w:rsid w:val="0075704F"/>
    <w:rsid w:val="0076011F"/>
    <w:rsid w:val="00761BB5"/>
    <w:rsid w:val="00762C66"/>
    <w:rsid w:val="00763677"/>
    <w:rsid w:val="00765FAD"/>
    <w:rsid w:val="0077240F"/>
    <w:rsid w:val="0077300C"/>
    <w:rsid w:val="00776140"/>
    <w:rsid w:val="00776637"/>
    <w:rsid w:val="007768A3"/>
    <w:rsid w:val="00780725"/>
    <w:rsid w:val="00780AA1"/>
    <w:rsid w:val="0078192A"/>
    <w:rsid w:val="00781A1F"/>
    <w:rsid w:val="007831DD"/>
    <w:rsid w:val="007854FD"/>
    <w:rsid w:val="00787054"/>
    <w:rsid w:val="007871CB"/>
    <w:rsid w:val="0079016F"/>
    <w:rsid w:val="007904DA"/>
    <w:rsid w:val="007905C9"/>
    <w:rsid w:val="00790DF9"/>
    <w:rsid w:val="00791840"/>
    <w:rsid w:val="00792B9B"/>
    <w:rsid w:val="00792F1B"/>
    <w:rsid w:val="0079449B"/>
    <w:rsid w:val="00794C24"/>
    <w:rsid w:val="00797799"/>
    <w:rsid w:val="007A1658"/>
    <w:rsid w:val="007A2307"/>
    <w:rsid w:val="007A2B31"/>
    <w:rsid w:val="007A3C54"/>
    <w:rsid w:val="007A3E6B"/>
    <w:rsid w:val="007A585D"/>
    <w:rsid w:val="007A7AE5"/>
    <w:rsid w:val="007A7DB6"/>
    <w:rsid w:val="007B0524"/>
    <w:rsid w:val="007B17E4"/>
    <w:rsid w:val="007B2FB5"/>
    <w:rsid w:val="007B3FEF"/>
    <w:rsid w:val="007B5213"/>
    <w:rsid w:val="007B56AF"/>
    <w:rsid w:val="007B685E"/>
    <w:rsid w:val="007C2838"/>
    <w:rsid w:val="007C486E"/>
    <w:rsid w:val="007C562C"/>
    <w:rsid w:val="007C6008"/>
    <w:rsid w:val="007C785A"/>
    <w:rsid w:val="007D318F"/>
    <w:rsid w:val="007D3268"/>
    <w:rsid w:val="007D3A8A"/>
    <w:rsid w:val="007D3F52"/>
    <w:rsid w:val="007D4B82"/>
    <w:rsid w:val="007D4BBC"/>
    <w:rsid w:val="007D4D80"/>
    <w:rsid w:val="007D67AE"/>
    <w:rsid w:val="007D6B77"/>
    <w:rsid w:val="007E10B9"/>
    <w:rsid w:val="007E2B02"/>
    <w:rsid w:val="007E343C"/>
    <w:rsid w:val="007E3985"/>
    <w:rsid w:val="007E5404"/>
    <w:rsid w:val="007E69FC"/>
    <w:rsid w:val="007F027D"/>
    <w:rsid w:val="007F3A3D"/>
    <w:rsid w:val="007F454D"/>
    <w:rsid w:val="007F4562"/>
    <w:rsid w:val="007F7279"/>
    <w:rsid w:val="00800C48"/>
    <w:rsid w:val="008016D5"/>
    <w:rsid w:val="00803245"/>
    <w:rsid w:val="00804489"/>
    <w:rsid w:val="008048AD"/>
    <w:rsid w:val="00804A58"/>
    <w:rsid w:val="00805397"/>
    <w:rsid w:val="00806B17"/>
    <w:rsid w:val="008074B6"/>
    <w:rsid w:val="00807727"/>
    <w:rsid w:val="00807BB1"/>
    <w:rsid w:val="008110BF"/>
    <w:rsid w:val="00811775"/>
    <w:rsid w:val="008119C7"/>
    <w:rsid w:val="0081208B"/>
    <w:rsid w:val="008144F9"/>
    <w:rsid w:val="008213DF"/>
    <w:rsid w:val="00822845"/>
    <w:rsid w:val="008239CC"/>
    <w:rsid w:val="00824091"/>
    <w:rsid w:val="0082499A"/>
    <w:rsid w:val="00824E73"/>
    <w:rsid w:val="00830E56"/>
    <w:rsid w:val="00831AB2"/>
    <w:rsid w:val="00832620"/>
    <w:rsid w:val="008327E9"/>
    <w:rsid w:val="00837B7A"/>
    <w:rsid w:val="008431AD"/>
    <w:rsid w:val="0084451C"/>
    <w:rsid w:val="00844995"/>
    <w:rsid w:val="008514FB"/>
    <w:rsid w:val="00853607"/>
    <w:rsid w:val="00855AB2"/>
    <w:rsid w:val="00855D82"/>
    <w:rsid w:val="0085601B"/>
    <w:rsid w:val="00857DFB"/>
    <w:rsid w:val="00860755"/>
    <w:rsid w:val="0086171E"/>
    <w:rsid w:val="00863AC2"/>
    <w:rsid w:val="00864967"/>
    <w:rsid w:val="008649A5"/>
    <w:rsid w:val="00864CB9"/>
    <w:rsid w:val="008651C2"/>
    <w:rsid w:val="008655C0"/>
    <w:rsid w:val="0086576B"/>
    <w:rsid w:val="008709DD"/>
    <w:rsid w:val="00870D94"/>
    <w:rsid w:val="00871554"/>
    <w:rsid w:val="008723BC"/>
    <w:rsid w:val="00874773"/>
    <w:rsid w:val="008750D4"/>
    <w:rsid w:val="00875DD5"/>
    <w:rsid w:val="00880018"/>
    <w:rsid w:val="00881CA0"/>
    <w:rsid w:val="00883033"/>
    <w:rsid w:val="008831C4"/>
    <w:rsid w:val="00884915"/>
    <w:rsid w:val="00884F36"/>
    <w:rsid w:val="00885957"/>
    <w:rsid w:val="00885A78"/>
    <w:rsid w:val="0088616C"/>
    <w:rsid w:val="008861B8"/>
    <w:rsid w:val="008869FC"/>
    <w:rsid w:val="008915DF"/>
    <w:rsid w:val="00892769"/>
    <w:rsid w:val="00896BCD"/>
    <w:rsid w:val="00897F5A"/>
    <w:rsid w:val="008A1C44"/>
    <w:rsid w:val="008A1F0F"/>
    <w:rsid w:val="008A2A28"/>
    <w:rsid w:val="008A342B"/>
    <w:rsid w:val="008A3B5D"/>
    <w:rsid w:val="008A4416"/>
    <w:rsid w:val="008A487D"/>
    <w:rsid w:val="008A6F41"/>
    <w:rsid w:val="008A73A9"/>
    <w:rsid w:val="008B03BC"/>
    <w:rsid w:val="008B21C7"/>
    <w:rsid w:val="008B2BFE"/>
    <w:rsid w:val="008B342E"/>
    <w:rsid w:val="008B45CD"/>
    <w:rsid w:val="008B5282"/>
    <w:rsid w:val="008B5F47"/>
    <w:rsid w:val="008B68C5"/>
    <w:rsid w:val="008B6DA2"/>
    <w:rsid w:val="008B7058"/>
    <w:rsid w:val="008B7B55"/>
    <w:rsid w:val="008C0631"/>
    <w:rsid w:val="008C0F8A"/>
    <w:rsid w:val="008C2118"/>
    <w:rsid w:val="008C43E3"/>
    <w:rsid w:val="008C4B82"/>
    <w:rsid w:val="008C753A"/>
    <w:rsid w:val="008C7EAE"/>
    <w:rsid w:val="008D0041"/>
    <w:rsid w:val="008D2558"/>
    <w:rsid w:val="008D2569"/>
    <w:rsid w:val="008D2B25"/>
    <w:rsid w:val="008D35C3"/>
    <w:rsid w:val="008D4122"/>
    <w:rsid w:val="008D5565"/>
    <w:rsid w:val="008D5FD8"/>
    <w:rsid w:val="008D6571"/>
    <w:rsid w:val="008D7BD0"/>
    <w:rsid w:val="008D7D70"/>
    <w:rsid w:val="008E0AC6"/>
    <w:rsid w:val="008E0CE8"/>
    <w:rsid w:val="008E1E24"/>
    <w:rsid w:val="008E3B1F"/>
    <w:rsid w:val="008E40C7"/>
    <w:rsid w:val="008E4E85"/>
    <w:rsid w:val="008E6309"/>
    <w:rsid w:val="008E76D0"/>
    <w:rsid w:val="008F0A76"/>
    <w:rsid w:val="008F1803"/>
    <w:rsid w:val="008F1EF4"/>
    <w:rsid w:val="008F2E15"/>
    <w:rsid w:val="008F376B"/>
    <w:rsid w:val="008F4656"/>
    <w:rsid w:val="008F4770"/>
    <w:rsid w:val="008F5414"/>
    <w:rsid w:val="008F60DD"/>
    <w:rsid w:val="008F7D35"/>
    <w:rsid w:val="00901DC6"/>
    <w:rsid w:val="0090612C"/>
    <w:rsid w:val="00906EE8"/>
    <w:rsid w:val="00912222"/>
    <w:rsid w:val="009142F8"/>
    <w:rsid w:val="009156E3"/>
    <w:rsid w:val="00915A25"/>
    <w:rsid w:val="009164EA"/>
    <w:rsid w:val="00923197"/>
    <w:rsid w:val="00923E09"/>
    <w:rsid w:val="0092548E"/>
    <w:rsid w:val="00927ECA"/>
    <w:rsid w:val="00930AFE"/>
    <w:rsid w:val="009332B5"/>
    <w:rsid w:val="00933454"/>
    <w:rsid w:val="00936574"/>
    <w:rsid w:val="00937C74"/>
    <w:rsid w:val="00940EA3"/>
    <w:rsid w:val="00941B16"/>
    <w:rsid w:val="00943DDE"/>
    <w:rsid w:val="00945337"/>
    <w:rsid w:val="0094646D"/>
    <w:rsid w:val="00947F6C"/>
    <w:rsid w:val="00951202"/>
    <w:rsid w:val="0095192E"/>
    <w:rsid w:val="00951CF4"/>
    <w:rsid w:val="00953A7B"/>
    <w:rsid w:val="00955A1E"/>
    <w:rsid w:val="00955C80"/>
    <w:rsid w:val="0095702D"/>
    <w:rsid w:val="0095749D"/>
    <w:rsid w:val="009615F4"/>
    <w:rsid w:val="00962E05"/>
    <w:rsid w:val="00962FC9"/>
    <w:rsid w:val="00963703"/>
    <w:rsid w:val="00963C13"/>
    <w:rsid w:val="00964179"/>
    <w:rsid w:val="009647DA"/>
    <w:rsid w:val="00964C38"/>
    <w:rsid w:val="009678B4"/>
    <w:rsid w:val="00967CA8"/>
    <w:rsid w:val="009706FA"/>
    <w:rsid w:val="00970FCA"/>
    <w:rsid w:val="0097251D"/>
    <w:rsid w:val="00974E2C"/>
    <w:rsid w:val="0097505F"/>
    <w:rsid w:val="00975857"/>
    <w:rsid w:val="00977481"/>
    <w:rsid w:val="00977BC9"/>
    <w:rsid w:val="009808FB"/>
    <w:rsid w:val="00981C9A"/>
    <w:rsid w:val="0098235F"/>
    <w:rsid w:val="009831EA"/>
    <w:rsid w:val="00983651"/>
    <w:rsid w:val="009841EE"/>
    <w:rsid w:val="00984CFF"/>
    <w:rsid w:val="0098537D"/>
    <w:rsid w:val="00985577"/>
    <w:rsid w:val="00986FF1"/>
    <w:rsid w:val="0098781A"/>
    <w:rsid w:val="00987BC7"/>
    <w:rsid w:val="0099130B"/>
    <w:rsid w:val="00991E1B"/>
    <w:rsid w:val="00992069"/>
    <w:rsid w:val="009929C0"/>
    <w:rsid w:val="00993BF8"/>
    <w:rsid w:val="0099458A"/>
    <w:rsid w:val="00996A70"/>
    <w:rsid w:val="00996AA5"/>
    <w:rsid w:val="009A25D7"/>
    <w:rsid w:val="009A2A5B"/>
    <w:rsid w:val="009A469B"/>
    <w:rsid w:val="009A501D"/>
    <w:rsid w:val="009A6E06"/>
    <w:rsid w:val="009A719D"/>
    <w:rsid w:val="009B0AEC"/>
    <w:rsid w:val="009B2CB3"/>
    <w:rsid w:val="009B32FB"/>
    <w:rsid w:val="009C1CE8"/>
    <w:rsid w:val="009C21F1"/>
    <w:rsid w:val="009C23E9"/>
    <w:rsid w:val="009C246F"/>
    <w:rsid w:val="009C371C"/>
    <w:rsid w:val="009C38CE"/>
    <w:rsid w:val="009C4E4B"/>
    <w:rsid w:val="009C4FDC"/>
    <w:rsid w:val="009C613E"/>
    <w:rsid w:val="009C6254"/>
    <w:rsid w:val="009C798C"/>
    <w:rsid w:val="009D100F"/>
    <w:rsid w:val="009D142B"/>
    <w:rsid w:val="009D409A"/>
    <w:rsid w:val="009D50F0"/>
    <w:rsid w:val="009D617C"/>
    <w:rsid w:val="009D714E"/>
    <w:rsid w:val="009D71A3"/>
    <w:rsid w:val="009E2CC5"/>
    <w:rsid w:val="009E761C"/>
    <w:rsid w:val="009E7AC1"/>
    <w:rsid w:val="009F16A1"/>
    <w:rsid w:val="009F25E0"/>
    <w:rsid w:val="009F2B80"/>
    <w:rsid w:val="009F4109"/>
    <w:rsid w:val="009F50E9"/>
    <w:rsid w:val="009F69DD"/>
    <w:rsid w:val="009F76B6"/>
    <w:rsid w:val="00A019F9"/>
    <w:rsid w:val="00A02A83"/>
    <w:rsid w:val="00A03DC7"/>
    <w:rsid w:val="00A03FFC"/>
    <w:rsid w:val="00A073CF"/>
    <w:rsid w:val="00A078FA"/>
    <w:rsid w:val="00A11B18"/>
    <w:rsid w:val="00A1350D"/>
    <w:rsid w:val="00A13EC7"/>
    <w:rsid w:val="00A1453D"/>
    <w:rsid w:val="00A17182"/>
    <w:rsid w:val="00A17769"/>
    <w:rsid w:val="00A26A89"/>
    <w:rsid w:val="00A26BA3"/>
    <w:rsid w:val="00A276D6"/>
    <w:rsid w:val="00A30C31"/>
    <w:rsid w:val="00A31C27"/>
    <w:rsid w:val="00A3681C"/>
    <w:rsid w:val="00A37A35"/>
    <w:rsid w:val="00A4039B"/>
    <w:rsid w:val="00A403AB"/>
    <w:rsid w:val="00A40E0C"/>
    <w:rsid w:val="00A43DFB"/>
    <w:rsid w:val="00A44D1B"/>
    <w:rsid w:val="00A4560F"/>
    <w:rsid w:val="00A50A66"/>
    <w:rsid w:val="00A5587E"/>
    <w:rsid w:val="00A617CC"/>
    <w:rsid w:val="00A6222A"/>
    <w:rsid w:val="00A625BC"/>
    <w:rsid w:val="00A62E1C"/>
    <w:rsid w:val="00A63454"/>
    <w:rsid w:val="00A636DD"/>
    <w:rsid w:val="00A63E8D"/>
    <w:rsid w:val="00A66CA6"/>
    <w:rsid w:val="00A70BB1"/>
    <w:rsid w:val="00A72C9A"/>
    <w:rsid w:val="00A758B9"/>
    <w:rsid w:val="00A77CBA"/>
    <w:rsid w:val="00A77E4B"/>
    <w:rsid w:val="00A82992"/>
    <w:rsid w:val="00A82BAF"/>
    <w:rsid w:val="00A83A84"/>
    <w:rsid w:val="00A855FA"/>
    <w:rsid w:val="00A85FCF"/>
    <w:rsid w:val="00A86F1A"/>
    <w:rsid w:val="00A870A3"/>
    <w:rsid w:val="00A914DD"/>
    <w:rsid w:val="00A91797"/>
    <w:rsid w:val="00A91B48"/>
    <w:rsid w:val="00A91BAA"/>
    <w:rsid w:val="00A92ACF"/>
    <w:rsid w:val="00A93DE5"/>
    <w:rsid w:val="00A96FCB"/>
    <w:rsid w:val="00AA02BB"/>
    <w:rsid w:val="00AA0A16"/>
    <w:rsid w:val="00AA0F13"/>
    <w:rsid w:val="00AA2238"/>
    <w:rsid w:val="00AA25F1"/>
    <w:rsid w:val="00AA2AEA"/>
    <w:rsid w:val="00AA2C73"/>
    <w:rsid w:val="00AA2FF6"/>
    <w:rsid w:val="00AA31A1"/>
    <w:rsid w:val="00AA4947"/>
    <w:rsid w:val="00AA6E8E"/>
    <w:rsid w:val="00AA736C"/>
    <w:rsid w:val="00AB24BD"/>
    <w:rsid w:val="00AB71DA"/>
    <w:rsid w:val="00AC08A2"/>
    <w:rsid w:val="00AC1A34"/>
    <w:rsid w:val="00AC1DF7"/>
    <w:rsid w:val="00AC22E4"/>
    <w:rsid w:val="00AC2BDD"/>
    <w:rsid w:val="00AC2FBC"/>
    <w:rsid w:val="00AC563E"/>
    <w:rsid w:val="00AC66C5"/>
    <w:rsid w:val="00AD0146"/>
    <w:rsid w:val="00AD09A1"/>
    <w:rsid w:val="00AD0CC4"/>
    <w:rsid w:val="00AD1E33"/>
    <w:rsid w:val="00AD2795"/>
    <w:rsid w:val="00AD3FE9"/>
    <w:rsid w:val="00AD42BE"/>
    <w:rsid w:val="00AD5DBC"/>
    <w:rsid w:val="00AD6C1C"/>
    <w:rsid w:val="00AD7F9B"/>
    <w:rsid w:val="00AE11B9"/>
    <w:rsid w:val="00AE1606"/>
    <w:rsid w:val="00AE1918"/>
    <w:rsid w:val="00AE37CB"/>
    <w:rsid w:val="00AE466A"/>
    <w:rsid w:val="00AE48CA"/>
    <w:rsid w:val="00AE4C3E"/>
    <w:rsid w:val="00AE6D61"/>
    <w:rsid w:val="00AF1035"/>
    <w:rsid w:val="00AF3D29"/>
    <w:rsid w:val="00AF499A"/>
    <w:rsid w:val="00AF5143"/>
    <w:rsid w:val="00AF5D6C"/>
    <w:rsid w:val="00AF6489"/>
    <w:rsid w:val="00B0420B"/>
    <w:rsid w:val="00B04854"/>
    <w:rsid w:val="00B05764"/>
    <w:rsid w:val="00B065F5"/>
    <w:rsid w:val="00B07AA9"/>
    <w:rsid w:val="00B1101A"/>
    <w:rsid w:val="00B11D41"/>
    <w:rsid w:val="00B13FC8"/>
    <w:rsid w:val="00B1463C"/>
    <w:rsid w:val="00B156BD"/>
    <w:rsid w:val="00B160B4"/>
    <w:rsid w:val="00B231F7"/>
    <w:rsid w:val="00B242C7"/>
    <w:rsid w:val="00B24996"/>
    <w:rsid w:val="00B26FA8"/>
    <w:rsid w:val="00B27A81"/>
    <w:rsid w:val="00B27CA9"/>
    <w:rsid w:val="00B300DA"/>
    <w:rsid w:val="00B30E04"/>
    <w:rsid w:val="00B310B6"/>
    <w:rsid w:val="00B3253F"/>
    <w:rsid w:val="00B34573"/>
    <w:rsid w:val="00B3603B"/>
    <w:rsid w:val="00B41626"/>
    <w:rsid w:val="00B41C22"/>
    <w:rsid w:val="00B428A6"/>
    <w:rsid w:val="00B435C1"/>
    <w:rsid w:val="00B443BA"/>
    <w:rsid w:val="00B47647"/>
    <w:rsid w:val="00B51B50"/>
    <w:rsid w:val="00B51E85"/>
    <w:rsid w:val="00B54AD2"/>
    <w:rsid w:val="00B55861"/>
    <w:rsid w:val="00B564E8"/>
    <w:rsid w:val="00B56C50"/>
    <w:rsid w:val="00B608A7"/>
    <w:rsid w:val="00B61FBD"/>
    <w:rsid w:val="00B63CC2"/>
    <w:rsid w:val="00B660C1"/>
    <w:rsid w:val="00B661AF"/>
    <w:rsid w:val="00B66F1C"/>
    <w:rsid w:val="00B67BF7"/>
    <w:rsid w:val="00B742C0"/>
    <w:rsid w:val="00B75092"/>
    <w:rsid w:val="00B774A2"/>
    <w:rsid w:val="00B807EE"/>
    <w:rsid w:val="00B83B8A"/>
    <w:rsid w:val="00B92FC0"/>
    <w:rsid w:val="00B95D07"/>
    <w:rsid w:val="00B979DC"/>
    <w:rsid w:val="00BA1438"/>
    <w:rsid w:val="00BA1D11"/>
    <w:rsid w:val="00BA230C"/>
    <w:rsid w:val="00BA25D6"/>
    <w:rsid w:val="00BA3121"/>
    <w:rsid w:val="00BA4604"/>
    <w:rsid w:val="00BA4D72"/>
    <w:rsid w:val="00BA5A60"/>
    <w:rsid w:val="00BA6B41"/>
    <w:rsid w:val="00BA764B"/>
    <w:rsid w:val="00BA7CC8"/>
    <w:rsid w:val="00BB022F"/>
    <w:rsid w:val="00BB2B44"/>
    <w:rsid w:val="00BB5FDB"/>
    <w:rsid w:val="00BC2491"/>
    <w:rsid w:val="00BC288D"/>
    <w:rsid w:val="00BC2C07"/>
    <w:rsid w:val="00BC3D0D"/>
    <w:rsid w:val="00BC55B9"/>
    <w:rsid w:val="00BD17DC"/>
    <w:rsid w:val="00BD272D"/>
    <w:rsid w:val="00BD56DA"/>
    <w:rsid w:val="00BD6E24"/>
    <w:rsid w:val="00BE228B"/>
    <w:rsid w:val="00BE2524"/>
    <w:rsid w:val="00BE2D95"/>
    <w:rsid w:val="00BE4C16"/>
    <w:rsid w:val="00BE54B9"/>
    <w:rsid w:val="00BE5F70"/>
    <w:rsid w:val="00BE6638"/>
    <w:rsid w:val="00BF0BF7"/>
    <w:rsid w:val="00BF1E47"/>
    <w:rsid w:val="00BF62FB"/>
    <w:rsid w:val="00C000E5"/>
    <w:rsid w:val="00C00623"/>
    <w:rsid w:val="00C00789"/>
    <w:rsid w:val="00C016D9"/>
    <w:rsid w:val="00C03374"/>
    <w:rsid w:val="00C0402A"/>
    <w:rsid w:val="00C042BD"/>
    <w:rsid w:val="00C044CC"/>
    <w:rsid w:val="00C04586"/>
    <w:rsid w:val="00C047F3"/>
    <w:rsid w:val="00C0571B"/>
    <w:rsid w:val="00C10E01"/>
    <w:rsid w:val="00C115D4"/>
    <w:rsid w:val="00C11723"/>
    <w:rsid w:val="00C11834"/>
    <w:rsid w:val="00C12E89"/>
    <w:rsid w:val="00C13876"/>
    <w:rsid w:val="00C13891"/>
    <w:rsid w:val="00C202F9"/>
    <w:rsid w:val="00C209BD"/>
    <w:rsid w:val="00C213C9"/>
    <w:rsid w:val="00C2504C"/>
    <w:rsid w:val="00C3073E"/>
    <w:rsid w:val="00C30D38"/>
    <w:rsid w:val="00C42D3E"/>
    <w:rsid w:val="00C446E1"/>
    <w:rsid w:val="00C45DAB"/>
    <w:rsid w:val="00C46835"/>
    <w:rsid w:val="00C473C9"/>
    <w:rsid w:val="00C478A5"/>
    <w:rsid w:val="00C5122C"/>
    <w:rsid w:val="00C53515"/>
    <w:rsid w:val="00C552D0"/>
    <w:rsid w:val="00C56E30"/>
    <w:rsid w:val="00C617B1"/>
    <w:rsid w:val="00C61C1C"/>
    <w:rsid w:val="00C62797"/>
    <w:rsid w:val="00C62853"/>
    <w:rsid w:val="00C62CB8"/>
    <w:rsid w:val="00C63538"/>
    <w:rsid w:val="00C63E88"/>
    <w:rsid w:val="00C640C0"/>
    <w:rsid w:val="00C666BF"/>
    <w:rsid w:val="00C67FA4"/>
    <w:rsid w:val="00C73A06"/>
    <w:rsid w:val="00C74A45"/>
    <w:rsid w:val="00C75955"/>
    <w:rsid w:val="00C80724"/>
    <w:rsid w:val="00C81935"/>
    <w:rsid w:val="00C833F7"/>
    <w:rsid w:val="00C834BF"/>
    <w:rsid w:val="00C84286"/>
    <w:rsid w:val="00C86BB2"/>
    <w:rsid w:val="00C873BD"/>
    <w:rsid w:val="00C87BF9"/>
    <w:rsid w:val="00C91223"/>
    <w:rsid w:val="00C927F3"/>
    <w:rsid w:val="00C93428"/>
    <w:rsid w:val="00C972CE"/>
    <w:rsid w:val="00CA42DC"/>
    <w:rsid w:val="00CA4AFF"/>
    <w:rsid w:val="00CB1F77"/>
    <w:rsid w:val="00CB3665"/>
    <w:rsid w:val="00CB47F8"/>
    <w:rsid w:val="00CB4953"/>
    <w:rsid w:val="00CB4E4A"/>
    <w:rsid w:val="00CB68F8"/>
    <w:rsid w:val="00CB70F9"/>
    <w:rsid w:val="00CB7E5B"/>
    <w:rsid w:val="00CC1305"/>
    <w:rsid w:val="00CC1982"/>
    <w:rsid w:val="00CC3129"/>
    <w:rsid w:val="00CC4296"/>
    <w:rsid w:val="00CC5532"/>
    <w:rsid w:val="00CC5B22"/>
    <w:rsid w:val="00CC6C3B"/>
    <w:rsid w:val="00CC6C4E"/>
    <w:rsid w:val="00CD081B"/>
    <w:rsid w:val="00CD3C8F"/>
    <w:rsid w:val="00CD6928"/>
    <w:rsid w:val="00CE0596"/>
    <w:rsid w:val="00CE12F5"/>
    <w:rsid w:val="00CE2554"/>
    <w:rsid w:val="00CE2BB0"/>
    <w:rsid w:val="00CE375E"/>
    <w:rsid w:val="00CE3821"/>
    <w:rsid w:val="00CE3FCE"/>
    <w:rsid w:val="00CE6A5D"/>
    <w:rsid w:val="00CE7970"/>
    <w:rsid w:val="00CE7AFA"/>
    <w:rsid w:val="00CF1A80"/>
    <w:rsid w:val="00CF4675"/>
    <w:rsid w:val="00CF6F07"/>
    <w:rsid w:val="00CF73D4"/>
    <w:rsid w:val="00D00A3B"/>
    <w:rsid w:val="00D01965"/>
    <w:rsid w:val="00D025B5"/>
    <w:rsid w:val="00D0303F"/>
    <w:rsid w:val="00D037CD"/>
    <w:rsid w:val="00D03A27"/>
    <w:rsid w:val="00D04EA9"/>
    <w:rsid w:val="00D05235"/>
    <w:rsid w:val="00D07716"/>
    <w:rsid w:val="00D105D7"/>
    <w:rsid w:val="00D12802"/>
    <w:rsid w:val="00D13F13"/>
    <w:rsid w:val="00D15868"/>
    <w:rsid w:val="00D1599D"/>
    <w:rsid w:val="00D16AF4"/>
    <w:rsid w:val="00D16D88"/>
    <w:rsid w:val="00D17690"/>
    <w:rsid w:val="00D21AB4"/>
    <w:rsid w:val="00D22262"/>
    <w:rsid w:val="00D23E53"/>
    <w:rsid w:val="00D2400C"/>
    <w:rsid w:val="00D27649"/>
    <w:rsid w:val="00D3088D"/>
    <w:rsid w:val="00D31B86"/>
    <w:rsid w:val="00D320E7"/>
    <w:rsid w:val="00D323D5"/>
    <w:rsid w:val="00D3394E"/>
    <w:rsid w:val="00D3569E"/>
    <w:rsid w:val="00D3622A"/>
    <w:rsid w:val="00D37FDC"/>
    <w:rsid w:val="00D41FCC"/>
    <w:rsid w:val="00D51C6E"/>
    <w:rsid w:val="00D6106A"/>
    <w:rsid w:val="00D610E2"/>
    <w:rsid w:val="00D62EB7"/>
    <w:rsid w:val="00D62FC1"/>
    <w:rsid w:val="00D63C61"/>
    <w:rsid w:val="00D6679F"/>
    <w:rsid w:val="00D675DF"/>
    <w:rsid w:val="00D67A31"/>
    <w:rsid w:val="00D709AE"/>
    <w:rsid w:val="00D70AA0"/>
    <w:rsid w:val="00D74832"/>
    <w:rsid w:val="00D76370"/>
    <w:rsid w:val="00D80D77"/>
    <w:rsid w:val="00D8197B"/>
    <w:rsid w:val="00D821C9"/>
    <w:rsid w:val="00D83DB9"/>
    <w:rsid w:val="00D84481"/>
    <w:rsid w:val="00D86A7A"/>
    <w:rsid w:val="00D871F1"/>
    <w:rsid w:val="00D9079E"/>
    <w:rsid w:val="00D918C0"/>
    <w:rsid w:val="00D92B91"/>
    <w:rsid w:val="00D94E5B"/>
    <w:rsid w:val="00D94F1A"/>
    <w:rsid w:val="00D94F91"/>
    <w:rsid w:val="00D95E19"/>
    <w:rsid w:val="00D96CAB"/>
    <w:rsid w:val="00D96D46"/>
    <w:rsid w:val="00DA028F"/>
    <w:rsid w:val="00DA0A8A"/>
    <w:rsid w:val="00DA175E"/>
    <w:rsid w:val="00DA1DA6"/>
    <w:rsid w:val="00DA4D2C"/>
    <w:rsid w:val="00DA5B6C"/>
    <w:rsid w:val="00DA6D54"/>
    <w:rsid w:val="00DA7E98"/>
    <w:rsid w:val="00DB088F"/>
    <w:rsid w:val="00DB1A69"/>
    <w:rsid w:val="00DB209B"/>
    <w:rsid w:val="00DB33CB"/>
    <w:rsid w:val="00DB4AD0"/>
    <w:rsid w:val="00DB4FC7"/>
    <w:rsid w:val="00DB600E"/>
    <w:rsid w:val="00DC1814"/>
    <w:rsid w:val="00DC2D8B"/>
    <w:rsid w:val="00DC33D2"/>
    <w:rsid w:val="00DC618B"/>
    <w:rsid w:val="00DC698F"/>
    <w:rsid w:val="00DD006E"/>
    <w:rsid w:val="00DD007D"/>
    <w:rsid w:val="00DD02D5"/>
    <w:rsid w:val="00DD0522"/>
    <w:rsid w:val="00DD2F7F"/>
    <w:rsid w:val="00DD3733"/>
    <w:rsid w:val="00DD4BFA"/>
    <w:rsid w:val="00DD6F7F"/>
    <w:rsid w:val="00DE072D"/>
    <w:rsid w:val="00DE090E"/>
    <w:rsid w:val="00DE2FAF"/>
    <w:rsid w:val="00DE464E"/>
    <w:rsid w:val="00DE59E5"/>
    <w:rsid w:val="00DF02E4"/>
    <w:rsid w:val="00DF0D5E"/>
    <w:rsid w:val="00DF11BB"/>
    <w:rsid w:val="00DF1321"/>
    <w:rsid w:val="00DF1D67"/>
    <w:rsid w:val="00DF6161"/>
    <w:rsid w:val="00DF74C3"/>
    <w:rsid w:val="00E02E58"/>
    <w:rsid w:val="00E06418"/>
    <w:rsid w:val="00E130B2"/>
    <w:rsid w:val="00E15D13"/>
    <w:rsid w:val="00E17FB4"/>
    <w:rsid w:val="00E20729"/>
    <w:rsid w:val="00E21237"/>
    <w:rsid w:val="00E2317B"/>
    <w:rsid w:val="00E272A8"/>
    <w:rsid w:val="00E314A9"/>
    <w:rsid w:val="00E31A78"/>
    <w:rsid w:val="00E3399A"/>
    <w:rsid w:val="00E33CE3"/>
    <w:rsid w:val="00E33E29"/>
    <w:rsid w:val="00E34308"/>
    <w:rsid w:val="00E35924"/>
    <w:rsid w:val="00E35B03"/>
    <w:rsid w:val="00E372D0"/>
    <w:rsid w:val="00E400E4"/>
    <w:rsid w:val="00E40F54"/>
    <w:rsid w:val="00E41F6D"/>
    <w:rsid w:val="00E42952"/>
    <w:rsid w:val="00E4540E"/>
    <w:rsid w:val="00E45AC5"/>
    <w:rsid w:val="00E47AF1"/>
    <w:rsid w:val="00E47CD0"/>
    <w:rsid w:val="00E5011D"/>
    <w:rsid w:val="00E516EB"/>
    <w:rsid w:val="00E51EC5"/>
    <w:rsid w:val="00E5397C"/>
    <w:rsid w:val="00E54E23"/>
    <w:rsid w:val="00E55151"/>
    <w:rsid w:val="00E56787"/>
    <w:rsid w:val="00E60B96"/>
    <w:rsid w:val="00E61746"/>
    <w:rsid w:val="00E62482"/>
    <w:rsid w:val="00E625A0"/>
    <w:rsid w:val="00E646AA"/>
    <w:rsid w:val="00E66120"/>
    <w:rsid w:val="00E66FC2"/>
    <w:rsid w:val="00E67FBE"/>
    <w:rsid w:val="00E71753"/>
    <w:rsid w:val="00E73CD0"/>
    <w:rsid w:val="00E75799"/>
    <w:rsid w:val="00E81803"/>
    <w:rsid w:val="00E86034"/>
    <w:rsid w:val="00E86723"/>
    <w:rsid w:val="00E9000D"/>
    <w:rsid w:val="00E901F2"/>
    <w:rsid w:val="00E91CFD"/>
    <w:rsid w:val="00E93D20"/>
    <w:rsid w:val="00E958F7"/>
    <w:rsid w:val="00E96032"/>
    <w:rsid w:val="00E968AF"/>
    <w:rsid w:val="00E9704E"/>
    <w:rsid w:val="00E97E22"/>
    <w:rsid w:val="00EA0F84"/>
    <w:rsid w:val="00EA16F1"/>
    <w:rsid w:val="00EA20A6"/>
    <w:rsid w:val="00EA3A4D"/>
    <w:rsid w:val="00EB0D0C"/>
    <w:rsid w:val="00EB25BF"/>
    <w:rsid w:val="00EB5AD4"/>
    <w:rsid w:val="00EB64F0"/>
    <w:rsid w:val="00EB6ACB"/>
    <w:rsid w:val="00EB7CF1"/>
    <w:rsid w:val="00EC26A3"/>
    <w:rsid w:val="00EC3091"/>
    <w:rsid w:val="00EC4876"/>
    <w:rsid w:val="00EC76FC"/>
    <w:rsid w:val="00EC7D19"/>
    <w:rsid w:val="00ED43D8"/>
    <w:rsid w:val="00ED57AD"/>
    <w:rsid w:val="00ED6946"/>
    <w:rsid w:val="00EE0587"/>
    <w:rsid w:val="00EE0C77"/>
    <w:rsid w:val="00EE1946"/>
    <w:rsid w:val="00EE252D"/>
    <w:rsid w:val="00EE26C1"/>
    <w:rsid w:val="00EE28CB"/>
    <w:rsid w:val="00EE5E78"/>
    <w:rsid w:val="00EE5EC3"/>
    <w:rsid w:val="00EE640E"/>
    <w:rsid w:val="00EE6487"/>
    <w:rsid w:val="00EE7902"/>
    <w:rsid w:val="00EE7B4B"/>
    <w:rsid w:val="00EE7DA1"/>
    <w:rsid w:val="00EF140B"/>
    <w:rsid w:val="00EF1C22"/>
    <w:rsid w:val="00EF2FBF"/>
    <w:rsid w:val="00EF52CA"/>
    <w:rsid w:val="00EF6520"/>
    <w:rsid w:val="00EF6633"/>
    <w:rsid w:val="00EF753F"/>
    <w:rsid w:val="00F00A30"/>
    <w:rsid w:val="00F00AC3"/>
    <w:rsid w:val="00F023CE"/>
    <w:rsid w:val="00F038A3"/>
    <w:rsid w:val="00F05207"/>
    <w:rsid w:val="00F05477"/>
    <w:rsid w:val="00F06668"/>
    <w:rsid w:val="00F07E0C"/>
    <w:rsid w:val="00F102A5"/>
    <w:rsid w:val="00F14727"/>
    <w:rsid w:val="00F15960"/>
    <w:rsid w:val="00F1688C"/>
    <w:rsid w:val="00F16DB8"/>
    <w:rsid w:val="00F170C7"/>
    <w:rsid w:val="00F172D1"/>
    <w:rsid w:val="00F20F85"/>
    <w:rsid w:val="00F227C5"/>
    <w:rsid w:val="00F23A6B"/>
    <w:rsid w:val="00F24BBF"/>
    <w:rsid w:val="00F3371A"/>
    <w:rsid w:val="00F33D12"/>
    <w:rsid w:val="00F350C0"/>
    <w:rsid w:val="00F36ED9"/>
    <w:rsid w:val="00F401B5"/>
    <w:rsid w:val="00F40CC1"/>
    <w:rsid w:val="00F4235C"/>
    <w:rsid w:val="00F428AF"/>
    <w:rsid w:val="00F4297F"/>
    <w:rsid w:val="00F4417C"/>
    <w:rsid w:val="00F45131"/>
    <w:rsid w:val="00F520DA"/>
    <w:rsid w:val="00F53A30"/>
    <w:rsid w:val="00F5403A"/>
    <w:rsid w:val="00F5417E"/>
    <w:rsid w:val="00F54D3C"/>
    <w:rsid w:val="00F54FBA"/>
    <w:rsid w:val="00F56509"/>
    <w:rsid w:val="00F57AF1"/>
    <w:rsid w:val="00F606F5"/>
    <w:rsid w:val="00F61C17"/>
    <w:rsid w:val="00F63044"/>
    <w:rsid w:val="00F6333E"/>
    <w:rsid w:val="00F6420D"/>
    <w:rsid w:val="00F642D6"/>
    <w:rsid w:val="00F645CF"/>
    <w:rsid w:val="00F64E4F"/>
    <w:rsid w:val="00F658E7"/>
    <w:rsid w:val="00F70C1C"/>
    <w:rsid w:val="00F70FC5"/>
    <w:rsid w:val="00F7242C"/>
    <w:rsid w:val="00F73D62"/>
    <w:rsid w:val="00F7436C"/>
    <w:rsid w:val="00F7488F"/>
    <w:rsid w:val="00F7725F"/>
    <w:rsid w:val="00F77338"/>
    <w:rsid w:val="00F77522"/>
    <w:rsid w:val="00F80756"/>
    <w:rsid w:val="00F809D0"/>
    <w:rsid w:val="00F816D9"/>
    <w:rsid w:val="00F82239"/>
    <w:rsid w:val="00F82703"/>
    <w:rsid w:val="00F847BB"/>
    <w:rsid w:val="00F84AFF"/>
    <w:rsid w:val="00F8587C"/>
    <w:rsid w:val="00F86327"/>
    <w:rsid w:val="00F90F1A"/>
    <w:rsid w:val="00F93B8C"/>
    <w:rsid w:val="00F9686B"/>
    <w:rsid w:val="00F97DC5"/>
    <w:rsid w:val="00FA0083"/>
    <w:rsid w:val="00FA4567"/>
    <w:rsid w:val="00FA4EE2"/>
    <w:rsid w:val="00FA75A7"/>
    <w:rsid w:val="00FA76BB"/>
    <w:rsid w:val="00FA7C1D"/>
    <w:rsid w:val="00FB00FC"/>
    <w:rsid w:val="00FB02C1"/>
    <w:rsid w:val="00FB2AB5"/>
    <w:rsid w:val="00FB2E02"/>
    <w:rsid w:val="00FC0601"/>
    <w:rsid w:val="00FC0A45"/>
    <w:rsid w:val="00FC10F9"/>
    <w:rsid w:val="00FC1EB1"/>
    <w:rsid w:val="00FC5ABB"/>
    <w:rsid w:val="00FC6184"/>
    <w:rsid w:val="00FC71DA"/>
    <w:rsid w:val="00FC7425"/>
    <w:rsid w:val="00FD0214"/>
    <w:rsid w:val="00FD1AF2"/>
    <w:rsid w:val="00FD444D"/>
    <w:rsid w:val="00FD4DD1"/>
    <w:rsid w:val="00FD5E3D"/>
    <w:rsid w:val="00FD5F92"/>
    <w:rsid w:val="00FD6A93"/>
    <w:rsid w:val="00FD6D15"/>
    <w:rsid w:val="00FD7AF6"/>
    <w:rsid w:val="00FE05AC"/>
    <w:rsid w:val="00FE177B"/>
    <w:rsid w:val="00FE2F3F"/>
    <w:rsid w:val="00FF0238"/>
    <w:rsid w:val="00FF0420"/>
    <w:rsid w:val="00FF3655"/>
    <w:rsid w:val="00FF3C90"/>
    <w:rsid w:val="00FF596B"/>
    <w:rsid w:val="00FF5DCF"/>
    <w:rsid w:val="00FF7631"/>
    <w:rsid w:val="00FF77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6F0E"/>
  <w15:docId w15:val="{B71A74B9-0E41-4991-9253-770021AF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C7B"/>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3"/>
      </w:numPr>
      <w:pBdr>
        <w:bottom w:val="single" w:sz="4" w:space="1" w:color="auto"/>
      </w:pBdr>
      <w:spacing w:before="120" w:after="200"/>
      <w:contextualSpacing/>
      <w:jc w:val="both"/>
    </w:pPr>
    <w:rPr>
      <w:rFonts w:ascii="Cambria" w:eastAsia="Calibri" w:hAnsi="Cambria" w:cs="Times New Roman"/>
      <w:b/>
      <w:sz w:val="28"/>
    </w:rPr>
  </w:style>
  <w:style w:type="character" w:customStyle="1" w:styleId="RozdziaIDKZnak">
    <w:name w:val="Rozdział I DK Znak"/>
    <w:link w:val="RozdziaIDK"/>
    <w:uiPriority w:val="99"/>
    <w:rsid w:val="00A96FCB"/>
    <w:rPr>
      <w:rFonts w:ascii="Cambria" w:eastAsia="Calibri" w:hAnsi="Cambria" w:cs="Times New Roman"/>
      <w:b/>
      <w:sz w:val="28"/>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6"/>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4451E6"/>
    <w:pPr>
      <w:numPr>
        <w:numId w:val="10"/>
      </w:numPr>
      <w:tabs>
        <w:tab w:val="clear" w:pos="4536"/>
        <w:tab w:val="clear" w:pos="9072"/>
      </w:tabs>
      <w:spacing w:before="360" w:after="60" w:line="360" w:lineRule="auto"/>
      <w:ind w:left="567" w:hanging="567"/>
    </w:pPr>
  </w:style>
  <w:style w:type="paragraph" w:customStyle="1" w:styleId="Podrozdzia-K">
    <w:name w:val="Podrozdział-K"/>
    <w:basedOn w:val="Rozdzia-K"/>
    <w:next w:val="TreNum-K"/>
    <w:link w:val="Podrozdzia-KZnak"/>
    <w:qFormat/>
    <w:rsid w:val="00CB47F8"/>
    <w:pPr>
      <w:numPr>
        <w:ilvl w:val="1"/>
      </w:numPr>
      <w:ind w:left="567" w:hanging="567"/>
      <w:jc w:val="left"/>
    </w:pPr>
  </w:style>
  <w:style w:type="character" w:customStyle="1" w:styleId="Rozdzia-KZnak">
    <w:name w:val="Rozdział-K Znak"/>
    <w:basedOn w:val="PodtytuZnak"/>
    <w:link w:val="Rozdzia-K"/>
    <w:rsid w:val="004451E6"/>
    <w:rPr>
      <w:rFonts w:ascii="Arial" w:eastAsia="Calibri" w:hAnsi="Arial" w:cs="Arial"/>
      <w:b/>
      <w:sz w:val="24"/>
      <w:szCs w:val="24"/>
    </w:rPr>
  </w:style>
  <w:style w:type="numbering" w:customStyle="1" w:styleId="Numeracja-K">
    <w:name w:val="Numeracja-K"/>
    <w:uiPriority w:val="99"/>
    <w:rsid w:val="00941B16"/>
    <w:pPr>
      <w:numPr>
        <w:numId w:val="11"/>
      </w:numPr>
    </w:pPr>
  </w:style>
  <w:style w:type="character" w:customStyle="1" w:styleId="Podrozdzia-KZnak">
    <w:name w:val="Podrozdział-K Znak"/>
    <w:basedOn w:val="PodtytuZnak"/>
    <w:link w:val="Podrozdzia-K"/>
    <w:rsid w:val="00CB47F8"/>
    <w:rPr>
      <w:rFonts w:ascii="Arial" w:eastAsia="Calibri" w:hAnsi="Arial" w:cs="Arial"/>
      <w:b/>
      <w:sz w:val="24"/>
      <w:szCs w:val="24"/>
    </w:rPr>
  </w:style>
  <w:style w:type="paragraph" w:customStyle="1" w:styleId="Nagwek-K">
    <w:name w:val="Nagłówek-K"/>
    <w:basedOn w:val="Normalny"/>
    <w:link w:val="Nagwek-KZnak"/>
    <w:qFormat/>
    <w:rsid w:val="00B310B6"/>
    <w:pPr>
      <w:autoSpaceDE w:val="0"/>
      <w:autoSpaceDN w:val="0"/>
      <w:adjustRightInd w:val="0"/>
      <w:spacing w:before="240" w:after="60"/>
    </w:pPr>
    <w:rPr>
      <w:rFonts w:cs="Arial"/>
      <w:b/>
      <w:sz w:val="24"/>
    </w:rPr>
  </w:style>
  <w:style w:type="paragraph" w:customStyle="1" w:styleId="TreNum-K">
    <w:name w:val="TreśćNum-K"/>
    <w:basedOn w:val="Default"/>
    <w:link w:val="TreNum-KZnak"/>
    <w:qFormat/>
    <w:rsid w:val="00492678"/>
    <w:pPr>
      <w:spacing w:line="360" w:lineRule="auto"/>
    </w:pPr>
    <w:rPr>
      <w:rFonts w:ascii="Arial" w:hAnsi="Arial" w:cs="Arial"/>
      <w:color w:val="auto"/>
      <w:sz w:val="22"/>
      <w:szCs w:val="22"/>
    </w:rPr>
  </w:style>
  <w:style w:type="character" w:customStyle="1" w:styleId="Nagwek-KZnak">
    <w:name w:val="Nagłówek-K Znak"/>
    <w:basedOn w:val="Domylnaczcionkaakapitu"/>
    <w:link w:val="Nagwek-K"/>
    <w:rsid w:val="00B310B6"/>
    <w:rPr>
      <w:rFonts w:ascii="Arial" w:hAnsi="Arial" w:cs="Arial"/>
      <w:b/>
      <w:sz w:val="24"/>
    </w:rPr>
  </w:style>
  <w:style w:type="numbering" w:customStyle="1" w:styleId="NumeracjaTre-K">
    <w:name w:val="NumeracjaTreść-K"/>
    <w:uiPriority w:val="99"/>
    <w:rsid w:val="00581E0B"/>
    <w:pPr>
      <w:numPr>
        <w:numId w:val="7"/>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492678"/>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E44B3"/>
    <w:pPr>
      <w:spacing w:after="100"/>
    </w:pPr>
    <w:rPr>
      <w:b/>
    </w:r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numbering" w:customStyle="1" w:styleId="NumeracjaTre-K2">
    <w:name w:val="NumeracjaTreść-K2"/>
    <w:uiPriority w:val="99"/>
    <w:rsid w:val="00BB2B44"/>
  </w:style>
  <w:style w:type="numbering" w:customStyle="1" w:styleId="NumeracjaTre-K3">
    <w:name w:val="NumeracjaTreść-K3"/>
    <w:uiPriority w:val="99"/>
    <w:rsid w:val="005400E1"/>
  </w:style>
  <w:style w:type="character" w:customStyle="1" w:styleId="Nierozpoznanawzmianka5">
    <w:name w:val="Nierozpoznana wzmianka5"/>
    <w:basedOn w:val="Domylnaczcionkaakapitu"/>
    <w:uiPriority w:val="99"/>
    <w:semiHidden/>
    <w:unhideWhenUsed/>
    <w:rsid w:val="003943D7"/>
    <w:rPr>
      <w:color w:val="605E5C"/>
      <w:shd w:val="clear" w:color="auto" w:fill="E1DFDD"/>
    </w:rPr>
  </w:style>
  <w:style w:type="paragraph" w:styleId="Spistreci3">
    <w:name w:val="toc 3"/>
    <w:basedOn w:val="Normalny"/>
    <w:next w:val="Normalny"/>
    <w:autoRedefine/>
    <w:uiPriority w:val="39"/>
    <w:unhideWhenUsed/>
    <w:rsid w:val="00571C7B"/>
    <w:pPr>
      <w:spacing w:after="100" w:line="259" w:lineRule="auto"/>
      <w:ind w:left="440"/>
    </w:pPr>
    <w:rPr>
      <w:rFonts w:asciiTheme="minorHAnsi" w:eastAsiaTheme="minorEastAsia" w:hAnsiTheme="minorHAnsi" w:cs="Times New Roman"/>
      <w:lang w:eastAsia="pl-PL"/>
    </w:rPr>
  </w:style>
  <w:style w:type="character" w:customStyle="1" w:styleId="normaltextrun">
    <w:name w:val="normaltextrun"/>
    <w:basedOn w:val="Domylnaczcionkaakapitu"/>
    <w:rsid w:val="00337BB6"/>
  </w:style>
  <w:style w:type="numbering" w:customStyle="1" w:styleId="Numeracja-K1">
    <w:name w:val="Numeracja-K1"/>
    <w:uiPriority w:val="99"/>
    <w:rsid w:val="00A50A66"/>
    <w:pPr>
      <w:numPr>
        <w:numId w:val="5"/>
      </w:numPr>
    </w:pPr>
  </w:style>
  <w:style w:type="numbering" w:customStyle="1" w:styleId="NumeracjaTre-K4">
    <w:name w:val="NumeracjaTreść-K4"/>
    <w:uiPriority w:val="99"/>
    <w:rsid w:val="00A50A66"/>
    <w:pPr>
      <w:numPr>
        <w:numId w:val="1"/>
      </w:numPr>
    </w:pPr>
  </w:style>
  <w:style w:type="numbering" w:customStyle="1" w:styleId="Numeracja-K2">
    <w:name w:val="Numeracja-K2"/>
    <w:uiPriority w:val="99"/>
    <w:rsid w:val="005448A6"/>
  </w:style>
  <w:style w:type="numbering" w:customStyle="1" w:styleId="NumeracjaTre-K5">
    <w:name w:val="NumeracjaTreść-K5"/>
    <w:uiPriority w:val="99"/>
    <w:rsid w:val="00F73D62"/>
  </w:style>
  <w:style w:type="paragraph" w:styleId="Tekstprzypisukocowego">
    <w:name w:val="endnote text"/>
    <w:basedOn w:val="Normalny"/>
    <w:link w:val="TekstprzypisukocowegoZnak"/>
    <w:uiPriority w:val="99"/>
    <w:semiHidden/>
    <w:unhideWhenUsed/>
    <w:rsid w:val="004651A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51A8"/>
    <w:rPr>
      <w:rFonts w:ascii="Arial" w:hAnsi="Arial"/>
      <w:sz w:val="20"/>
      <w:szCs w:val="20"/>
    </w:rPr>
  </w:style>
  <w:style w:type="character" w:styleId="Odwoanieprzypisukocowego">
    <w:name w:val="endnote reference"/>
    <w:basedOn w:val="Domylnaczcionkaakapitu"/>
    <w:uiPriority w:val="99"/>
    <w:semiHidden/>
    <w:unhideWhenUsed/>
    <w:rsid w:val="004651A8"/>
    <w:rPr>
      <w:vertAlign w:val="superscript"/>
    </w:rPr>
  </w:style>
  <w:style w:type="table" w:customStyle="1" w:styleId="Tabelasiatki1jasna1">
    <w:name w:val="Tabela siatki 1 — jasna1"/>
    <w:basedOn w:val="Standardowy"/>
    <w:uiPriority w:val="46"/>
    <w:rsid w:val="00581C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umeracjaTre-K6">
    <w:name w:val="NumeracjaTreść-K6"/>
    <w:uiPriority w:val="99"/>
    <w:rsid w:val="00C1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9105">
      <w:bodyDiv w:val="1"/>
      <w:marLeft w:val="0"/>
      <w:marRight w:val="0"/>
      <w:marTop w:val="0"/>
      <w:marBottom w:val="0"/>
      <w:divBdr>
        <w:top w:val="none" w:sz="0" w:space="0" w:color="auto"/>
        <w:left w:val="none" w:sz="0" w:space="0" w:color="auto"/>
        <w:bottom w:val="none" w:sz="0" w:space="0" w:color="auto"/>
        <w:right w:val="none" w:sz="0" w:space="0" w:color="auto"/>
      </w:divBdr>
    </w:div>
    <w:div w:id="71898598">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316346794">
      <w:bodyDiv w:val="1"/>
      <w:marLeft w:val="0"/>
      <w:marRight w:val="0"/>
      <w:marTop w:val="0"/>
      <w:marBottom w:val="0"/>
      <w:divBdr>
        <w:top w:val="none" w:sz="0" w:space="0" w:color="auto"/>
        <w:left w:val="none" w:sz="0" w:space="0" w:color="auto"/>
        <w:bottom w:val="none" w:sz="0" w:space="0" w:color="auto"/>
        <w:right w:val="none" w:sz="0" w:space="0" w:color="auto"/>
      </w:divBdr>
    </w:div>
    <w:div w:id="398477180">
      <w:bodyDiv w:val="1"/>
      <w:marLeft w:val="0"/>
      <w:marRight w:val="0"/>
      <w:marTop w:val="0"/>
      <w:marBottom w:val="0"/>
      <w:divBdr>
        <w:top w:val="none" w:sz="0" w:space="0" w:color="auto"/>
        <w:left w:val="none" w:sz="0" w:space="0" w:color="auto"/>
        <w:bottom w:val="none" w:sz="0" w:space="0" w:color="auto"/>
        <w:right w:val="none" w:sz="0" w:space="0" w:color="auto"/>
      </w:divBdr>
    </w:div>
    <w:div w:id="416705957">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749156377">
      <w:bodyDiv w:val="1"/>
      <w:marLeft w:val="0"/>
      <w:marRight w:val="0"/>
      <w:marTop w:val="0"/>
      <w:marBottom w:val="0"/>
      <w:divBdr>
        <w:top w:val="none" w:sz="0" w:space="0" w:color="auto"/>
        <w:left w:val="none" w:sz="0" w:space="0" w:color="auto"/>
        <w:bottom w:val="none" w:sz="0" w:space="0" w:color="auto"/>
        <w:right w:val="none" w:sz="0" w:space="0" w:color="auto"/>
      </w:divBdr>
    </w:div>
    <w:div w:id="895894611">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06328818">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10880400">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_desk_SOWA_EFS_CST@warmia.mazury.pl" TargetMode="External"/><Relationship Id="rId13" Type="http://schemas.openxmlformats.org/officeDocument/2006/relationships/hyperlink" Target="https://www.ecb.europa.eu/stats/policy_and_exchange_rates/euro_reference_exchange_rates/html/eurofxref-graph-pln.e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login"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owa2021.ef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wa2021.efs.gov.pl" TargetMode="External"/><Relationship Id="rId14" Type="http://schemas.openxmlformats.org/officeDocument/2006/relationships/hyperlink" Target="https://www.funduszeeuropejskie.gov.pl/strony/o-funduszach/fundusze-europejskie-bez-barier/dostepnosc-pl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stats/policy_and_exchange_rates/euro_reference_exchange_rates/html/eurofxref-graph-pln.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48824-C7D1-4E9F-9055-8BAD16BC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55</Pages>
  <Words>16465</Words>
  <Characters>98792</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Krzysztof Gęsicki</cp:lastModifiedBy>
  <cp:revision>38</cp:revision>
  <cp:lastPrinted>2023-09-18T06:54:00Z</cp:lastPrinted>
  <dcterms:created xsi:type="dcterms:W3CDTF">2023-09-15T13:09:00Z</dcterms:created>
  <dcterms:modified xsi:type="dcterms:W3CDTF">2023-09-18T12:07:00Z</dcterms:modified>
</cp:coreProperties>
</file>