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B0882" w14:textId="77777777" w:rsidR="00B12E39" w:rsidRDefault="00B12E39" w:rsidP="00C90AA0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</w:p>
    <w:p w14:paraId="44FBC518" w14:textId="5F9663DF" w:rsidR="00B12E39" w:rsidRPr="00B12E39" w:rsidRDefault="00835A12" w:rsidP="00835A12">
      <w:pPr>
        <w:spacing w:line="360" w:lineRule="auto"/>
        <w:jc w:val="center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>
        <w:rPr>
          <w:rFonts w:ascii="Arial" w:hAnsi="Arial" w:cs="Arial"/>
          <w:b/>
          <w:bCs/>
        </w:rPr>
        <w:t>AGENDA</w:t>
      </w:r>
    </w:p>
    <w:p w14:paraId="7C41D742" w14:textId="43A2509F" w:rsidR="00CC08BD" w:rsidRPr="00B12E39" w:rsidRDefault="00CC08BD" w:rsidP="009C190C">
      <w:pPr>
        <w:spacing w:before="120" w:after="0" w:line="360" w:lineRule="auto"/>
        <w:jc w:val="center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Kwalifikowalność wydatków przy realizacji projektów współfinansowanych z FEWiM 2021–2027</w:t>
      </w:r>
    </w:p>
    <w:p w14:paraId="6F0DD0A0" w14:textId="1AACE2B9" w:rsidR="00B12E39" w:rsidRPr="00B12E39" w:rsidRDefault="009C190C" w:rsidP="009C190C">
      <w:pPr>
        <w:spacing w:before="120" w:after="0" w:line="360" w:lineRule="auto"/>
        <w:jc w:val="center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POZIOM ROZSZERZONY</w:t>
      </w:r>
    </w:p>
    <w:p w14:paraId="5D28410B" w14:textId="77777777" w:rsidR="00B12E39" w:rsidRPr="00B12E39" w:rsidRDefault="00B12E39" w:rsidP="00C90AA0">
      <w:p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</w:p>
    <w:p w14:paraId="75B9877B" w14:textId="77777777" w:rsidR="00B12E39" w:rsidRPr="00B12E39" w:rsidRDefault="00B12E39" w:rsidP="00B12E39">
      <w:pPr>
        <w:spacing w:line="360" w:lineRule="auto"/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</w:pPr>
      <w:r w:rsidRPr="00B12E39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Harmonogram szkolenia</w:t>
      </w:r>
    </w:p>
    <w:p w14:paraId="698F7AC8" w14:textId="77777777" w:rsidR="00B12E39" w:rsidRPr="00B12E39" w:rsidRDefault="00B12E39" w:rsidP="00B12E39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B12E39">
        <w:rPr>
          <w:rFonts w:ascii="Arial" w:eastAsia="Arial" w:hAnsi="Arial" w:cs="Arial"/>
          <w:color w:val="000000" w:themeColor="text1"/>
          <w:sz w:val="18"/>
          <w:szCs w:val="18"/>
        </w:rPr>
        <w:t>9:00 -10:30 sesja I</w:t>
      </w:r>
    </w:p>
    <w:p w14:paraId="406649A9" w14:textId="77777777" w:rsidR="00B12E39" w:rsidRPr="00B12E39" w:rsidRDefault="00B12E39" w:rsidP="00B12E39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B12E39">
        <w:rPr>
          <w:rFonts w:ascii="Arial" w:eastAsia="Arial" w:hAnsi="Arial" w:cs="Arial"/>
          <w:color w:val="000000" w:themeColor="text1"/>
          <w:sz w:val="18"/>
          <w:szCs w:val="18"/>
        </w:rPr>
        <w:t>10:30-10:45- przerwa</w:t>
      </w:r>
    </w:p>
    <w:p w14:paraId="2F24ADAA" w14:textId="77777777" w:rsidR="00B12E39" w:rsidRPr="00B12E39" w:rsidRDefault="00B12E39" w:rsidP="00B12E39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B12E39">
        <w:rPr>
          <w:rFonts w:ascii="Arial" w:eastAsia="Arial" w:hAnsi="Arial" w:cs="Arial"/>
          <w:color w:val="000000" w:themeColor="text1"/>
          <w:sz w:val="18"/>
          <w:szCs w:val="18"/>
        </w:rPr>
        <w:t>10:45-12:15-sesja II</w:t>
      </w:r>
    </w:p>
    <w:p w14:paraId="2D27215C" w14:textId="77777777" w:rsidR="00B12E39" w:rsidRPr="00B12E39" w:rsidRDefault="00B12E39" w:rsidP="00B12E39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B12E39">
        <w:rPr>
          <w:rFonts w:ascii="Arial" w:eastAsia="Arial" w:hAnsi="Arial" w:cs="Arial"/>
          <w:color w:val="000000" w:themeColor="text1"/>
          <w:sz w:val="18"/>
          <w:szCs w:val="18"/>
        </w:rPr>
        <w:t>12:15-12:30-przerwa</w:t>
      </w:r>
    </w:p>
    <w:p w14:paraId="51378EA7" w14:textId="77777777" w:rsidR="00B12E39" w:rsidRPr="00B12E39" w:rsidRDefault="00B12E39" w:rsidP="00B12E39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B12E39">
        <w:rPr>
          <w:rFonts w:ascii="Arial" w:eastAsia="Arial" w:hAnsi="Arial" w:cs="Arial"/>
          <w:color w:val="000000" w:themeColor="text1"/>
          <w:sz w:val="18"/>
          <w:szCs w:val="18"/>
        </w:rPr>
        <w:t xml:space="preserve">12:30-14:00 - sesja III </w:t>
      </w:r>
    </w:p>
    <w:p w14:paraId="5B687A67" w14:textId="77777777" w:rsidR="00B12E39" w:rsidRPr="00B12E39" w:rsidRDefault="00B12E39" w:rsidP="00B12E39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B12E39">
        <w:rPr>
          <w:rFonts w:ascii="Arial" w:eastAsia="Arial" w:hAnsi="Arial" w:cs="Arial"/>
          <w:color w:val="000000" w:themeColor="text1"/>
          <w:sz w:val="18"/>
          <w:szCs w:val="18"/>
        </w:rPr>
        <w:t>14:00-14:15- przerwa</w:t>
      </w:r>
    </w:p>
    <w:p w14:paraId="522CA42C" w14:textId="77777777" w:rsidR="00B12E39" w:rsidRPr="00B12E39" w:rsidRDefault="00B12E39" w:rsidP="00B12E39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B12E39">
        <w:rPr>
          <w:rFonts w:ascii="Arial" w:eastAsia="Arial" w:hAnsi="Arial" w:cs="Arial"/>
          <w:color w:val="000000" w:themeColor="text1"/>
          <w:sz w:val="18"/>
          <w:szCs w:val="18"/>
        </w:rPr>
        <w:t>14:15-15:00- sesja IV i podsumowanie szkolenia</w:t>
      </w:r>
    </w:p>
    <w:p w14:paraId="15A31543" w14:textId="77777777" w:rsidR="00B12E39" w:rsidRPr="00B12E39" w:rsidRDefault="00B12E39" w:rsidP="00B12E39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B12E39">
        <w:rPr>
          <w:rFonts w:ascii="Arial" w:eastAsia="Arial" w:hAnsi="Arial" w:cs="Arial"/>
          <w:color w:val="000000" w:themeColor="text1"/>
          <w:sz w:val="18"/>
          <w:szCs w:val="18"/>
        </w:rPr>
        <w:t>15:00-16:00- konsultacje</w:t>
      </w:r>
    </w:p>
    <w:p w14:paraId="71D78FEE" w14:textId="40FE5BE8" w:rsidR="00B12E39" w:rsidRPr="00B12E39" w:rsidRDefault="00B12E39" w:rsidP="00C90AA0">
      <w:p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-------------------</w:t>
      </w:r>
    </w:p>
    <w:p w14:paraId="123DBB1E" w14:textId="77777777" w:rsidR="00CC08BD" w:rsidRPr="00B12E39" w:rsidRDefault="00CC08BD" w:rsidP="00C90AA0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1. Ogólne warunki kwalifikowalności wydatków</w:t>
      </w:r>
    </w:p>
    <w:p w14:paraId="69332733" w14:textId="18A4D001" w:rsidR="00CC08BD" w:rsidRPr="00B12E39" w:rsidRDefault="00CC08BD" w:rsidP="0044439E">
      <w:pPr>
        <w:numPr>
          <w:ilvl w:val="0"/>
          <w:numId w:val="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podstawowe warunki uznania wydatku za kwalifikowalny</w:t>
      </w:r>
      <w:r w:rsidR="0044439E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– przesłanki kwalifikowalności/ 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matryca kwalifikowalności wydatków;</w:t>
      </w:r>
    </w:p>
    <w:p w14:paraId="6A73B880" w14:textId="2A2F5386" w:rsidR="00CC08BD" w:rsidRPr="00B12E39" w:rsidRDefault="00CC08BD" w:rsidP="00C90AA0">
      <w:pPr>
        <w:numPr>
          <w:ilvl w:val="0"/>
          <w:numId w:val="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wydatki niekwalifikowalne;</w:t>
      </w:r>
    </w:p>
    <w:p w14:paraId="7479F2B2" w14:textId="05D0D851" w:rsidR="00CC08BD" w:rsidRPr="00B12E39" w:rsidRDefault="00CC08BD" w:rsidP="00C90AA0">
      <w:pPr>
        <w:numPr>
          <w:ilvl w:val="0"/>
          <w:numId w:val="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cross-financing – zakres</w:t>
      </w:r>
      <w:r w:rsidR="0028673C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, 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zasady stosowania</w:t>
      </w:r>
      <w:r w:rsidR="0028673C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, przesłanki wyłączenia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;</w:t>
      </w:r>
    </w:p>
    <w:p w14:paraId="05607B99" w14:textId="77777777" w:rsidR="00CC08BD" w:rsidRPr="00B12E39" w:rsidRDefault="00CC08BD" w:rsidP="00C90AA0">
      <w:pPr>
        <w:numPr>
          <w:ilvl w:val="0"/>
          <w:numId w:val="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rozliczanie efektów projektu;</w:t>
      </w:r>
    </w:p>
    <w:p w14:paraId="61724378" w14:textId="77777777" w:rsidR="00CC08BD" w:rsidRPr="00B12E39" w:rsidRDefault="00CC08BD" w:rsidP="00C90AA0">
      <w:pPr>
        <w:numPr>
          <w:ilvl w:val="0"/>
          <w:numId w:val="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reguła proporcjonalności i konsekwencje nieosiągnięcia założonych celów oraz wskaźników.</w:t>
      </w:r>
    </w:p>
    <w:p w14:paraId="779336D8" w14:textId="77777777" w:rsidR="00CC08BD" w:rsidRPr="00B12E39" w:rsidRDefault="00CC08BD" w:rsidP="00C90AA0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2. Główne zobowiązania Beneficjenta w kontekście rozliczania projektu dofinansowanego ze środków UE w latach 2021–2027</w:t>
      </w:r>
    </w:p>
    <w:p w14:paraId="65ABFE05" w14:textId="5B8BCDE8" w:rsidR="00CC08BD" w:rsidRPr="00B12E39" w:rsidRDefault="00CC08BD" w:rsidP="00C90AA0">
      <w:pPr>
        <w:numPr>
          <w:ilvl w:val="0"/>
          <w:numId w:val="2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warunki realizacji projektu określone w umowie o dofinansowanie</w:t>
      </w:r>
      <w:r w:rsidR="0044439E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– jak czytać umowę o dofinasowanie + jak rozpocząć realizację projektu;</w:t>
      </w:r>
    </w:p>
    <w:p w14:paraId="123CE1E8" w14:textId="5430890F" w:rsidR="00CC08BD" w:rsidRPr="00B12E39" w:rsidRDefault="00CC08BD" w:rsidP="00C90AA0">
      <w:pPr>
        <w:numPr>
          <w:ilvl w:val="0"/>
          <w:numId w:val="2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znaczenie wniosku o dofinansowanie i obowiązek realizacji projektu zgodnie z jego założeniami</w:t>
      </w:r>
      <w:r w:rsidR="00F044AA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– na co zwrócić uwagę</w:t>
      </w:r>
      <w:r w:rsidR="0028673C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, by nie pominąć zobowiązań zawartych w WND;</w:t>
      </w:r>
    </w:p>
    <w:p w14:paraId="44B33DD3" w14:textId="3AD93702" w:rsidR="00CC08BD" w:rsidRPr="00B12E39" w:rsidRDefault="00CC08BD" w:rsidP="00C90AA0">
      <w:pPr>
        <w:numPr>
          <w:ilvl w:val="0"/>
          <w:numId w:val="2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obowiązek i formy prowadzenia wyodrębnionej ewidencji księgowej</w:t>
      </w:r>
      <w:r w:rsidR="006F0D98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– pełna rachunkowość (konta syntetyczne i analityczne, kod księgowy); uproszczona rachunkowość;</w:t>
      </w:r>
    </w:p>
    <w:p w14:paraId="6833E449" w14:textId="007FCC19" w:rsidR="00CC08BD" w:rsidRPr="00B12E39" w:rsidRDefault="00CD2062" w:rsidP="00CD2062">
      <w:pPr>
        <w:numPr>
          <w:ilvl w:val="0"/>
          <w:numId w:val="2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lastRenderedPageBreak/>
        <w:t xml:space="preserve">syntetyczne przedstawienie pozostałych zobowiązań: </w:t>
      </w:r>
      <w:r w:rsidR="00CC08BD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aktualne wymogi w zakresie informacji i promocji projektu;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</w:t>
      </w:r>
      <w:r w:rsidR="00CC08BD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obowiązek i terminy archiwizacji dokumentacji związanej z realizacją projektu;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</w:t>
      </w:r>
      <w:r w:rsidR="00CC08BD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zapewnienie kompletnej ścieżki audytu;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</w:t>
      </w:r>
      <w:r w:rsidR="00CC08BD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obowiązek i terminy utrzymania trwałości projektu;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</w:t>
      </w:r>
      <w:r w:rsidR="00CC08BD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konsekwencje naruszenia obowiązków beneficjenta.</w:t>
      </w:r>
    </w:p>
    <w:p w14:paraId="29C9A1E2" w14:textId="77777777" w:rsidR="00CC08BD" w:rsidRPr="00B12E39" w:rsidRDefault="00CC08BD" w:rsidP="00C90AA0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3. Szczególne warunki kwalifikowalności wydatków</w:t>
      </w:r>
    </w:p>
    <w:p w14:paraId="37541B04" w14:textId="77777777" w:rsidR="00CC08BD" w:rsidRPr="00B12E39" w:rsidRDefault="00CC08BD" w:rsidP="00C90AA0">
      <w:pPr>
        <w:numPr>
          <w:ilvl w:val="0"/>
          <w:numId w:val="3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zasada faktycznego ponoszenia wydatków;</w:t>
      </w:r>
    </w:p>
    <w:p w14:paraId="309D3FF8" w14:textId="03D842AA" w:rsidR="00CC08BD" w:rsidRPr="00B12E39" w:rsidRDefault="00CC08BD" w:rsidP="00C90AA0">
      <w:pPr>
        <w:numPr>
          <w:ilvl w:val="0"/>
          <w:numId w:val="3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moment poniesienia wydatku</w:t>
      </w:r>
      <w:r w:rsidR="0028673C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– metoda kasowa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;</w:t>
      </w:r>
    </w:p>
    <w:p w14:paraId="1BABECEE" w14:textId="77777777" w:rsidR="00CC08BD" w:rsidRPr="00B12E39" w:rsidRDefault="00CC08BD" w:rsidP="00C90AA0">
      <w:pPr>
        <w:numPr>
          <w:ilvl w:val="0"/>
          <w:numId w:val="3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podmiot upoważniony do ponoszenia wydatków;</w:t>
      </w:r>
    </w:p>
    <w:p w14:paraId="2DAD2627" w14:textId="77777777" w:rsidR="00CC08BD" w:rsidRPr="00B12E39" w:rsidRDefault="00CC08BD" w:rsidP="00C90AA0">
      <w:pPr>
        <w:numPr>
          <w:ilvl w:val="0"/>
          <w:numId w:val="3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najważniejsze wyłączenia i ograniczenia;</w:t>
      </w:r>
    </w:p>
    <w:p w14:paraId="669D68C7" w14:textId="77777777" w:rsidR="00CC08BD" w:rsidRPr="00B12E39" w:rsidRDefault="00CC08BD" w:rsidP="00C90AA0">
      <w:pPr>
        <w:numPr>
          <w:ilvl w:val="0"/>
          <w:numId w:val="3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wkład niepieniężny – zasady wyceny i dokumentowania.</w:t>
      </w:r>
    </w:p>
    <w:p w14:paraId="3FC9867D" w14:textId="77777777" w:rsidR="00CC08BD" w:rsidRPr="00B12E39" w:rsidRDefault="00CC08BD" w:rsidP="00C90AA0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4. Szczególne warunki kwalifikowalności wybranych kategorii wydatków</w:t>
      </w:r>
    </w:p>
    <w:p w14:paraId="5EB3E9EF" w14:textId="3250C62B" w:rsidR="00CC08BD" w:rsidRPr="00B12E39" w:rsidRDefault="00CC08BD" w:rsidP="00541367">
      <w:pPr>
        <w:numPr>
          <w:ilvl w:val="0"/>
          <w:numId w:val="4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zakup nieruchomości;</w:t>
      </w:r>
      <w:r w:rsidR="00541367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pozostałe wydatki związane z nabyciem nieruchomości;</w:t>
      </w:r>
      <w:r w:rsidR="00541367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nabycie prawa użytkowania wieczystego;</w:t>
      </w:r>
      <w:r w:rsidR="00541367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nabycie innych tytułów prawnych do nieruchomości;</w:t>
      </w:r>
    </w:p>
    <w:p w14:paraId="37225881" w14:textId="352921F9" w:rsidR="00CC08BD" w:rsidRPr="00B12E39" w:rsidRDefault="00CC08BD" w:rsidP="00C90AA0">
      <w:pPr>
        <w:numPr>
          <w:ilvl w:val="0"/>
          <w:numId w:val="4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podatek od towarów i usług (VAT)</w:t>
      </w:r>
      <w:r w:rsidR="0028673C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– zasady ogólne, zmiany względem perspektywy 2014-2-2020, rola instytucji zarządzającej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;</w:t>
      </w:r>
    </w:p>
    <w:p w14:paraId="3BAA2F2B" w14:textId="77777777" w:rsidR="00CC08BD" w:rsidRPr="00B12E39" w:rsidRDefault="00CC08BD" w:rsidP="00C90AA0">
      <w:pPr>
        <w:numPr>
          <w:ilvl w:val="0"/>
          <w:numId w:val="4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opłaty finansowe;</w:t>
      </w:r>
    </w:p>
    <w:p w14:paraId="5E6091D8" w14:textId="36A063E8" w:rsidR="00CC08BD" w:rsidRPr="00B12E39" w:rsidRDefault="00CC08BD" w:rsidP="00541367">
      <w:pPr>
        <w:numPr>
          <w:ilvl w:val="0"/>
          <w:numId w:val="4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amortyzacja środków trwałych oraz wartości niematerialnych i prawnych</w:t>
      </w:r>
      <w:r w:rsidR="00541367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a 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leasing;</w:t>
      </w:r>
    </w:p>
    <w:p w14:paraId="39C80407" w14:textId="77777777" w:rsidR="00CC08BD" w:rsidRPr="00B12E39" w:rsidRDefault="00CC08BD" w:rsidP="00C90AA0">
      <w:pPr>
        <w:numPr>
          <w:ilvl w:val="0"/>
          <w:numId w:val="4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personel projektu – zasady kwalifikowalności i dokumentowania kosztów.</w:t>
      </w:r>
    </w:p>
    <w:p w14:paraId="494F6459" w14:textId="77777777" w:rsidR="00CC08BD" w:rsidRPr="00B12E39" w:rsidRDefault="00CC08BD" w:rsidP="00C90AA0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5. Koszty pośrednie</w:t>
      </w:r>
    </w:p>
    <w:p w14:paraId="05C98214" w14:textId="77777777" w:rsidR="00CC08BD" w:rsidRPr="00B12E39" w:rsidRDefault="00CC08BD" w:rsidP="00C90AA0">
      <w:pPr>
        <w:numPr>
          <w:ilvl w:val="0"/>
          <w:numId w:val="5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katalog kosztów pośrednich;</w:t>
      </w:r>
    </w:p>
    <w:p w14:paraId="1E8FE148" w14:textId="77777777" w:rsidR="00CC08BD" w:rsidRPr="00B12E39" w:rsidRDefault="00CC08BD" w:rsidP="00C90AA0">
      <w:pPr>
        <w:numPr>
          <w:ilvl w:val="0"/>
          <w:numId w:val="5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rozróżnienie kosztów bezpośrednich i pośrednich;</w:t>
      </w:r>
    </w:p>
    <w:p w14:paraId="10C23A7C" w14:textId="77777777" w:rsidR="00CC08BD" w:rsidRPr="00B12E39" w:rsidRDefault="00CC08BD" w:rsidP="00C90AA0">
      <w:pPr>
        <w:numPr>
          <w:ilvl w:val="0"/>
          <w:numId w:val="5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zasady rozliczania kosztów pośrednich;</w:t>
      </w:r>
    </w:p>
    <w:p w14:paraId="064A6AC9" w14:textId="2EB5C35F" w:rsidR="00CC08BD" w:rsidRPr="00B12E39" w:rsidRDefault="00CC08BD" w:rsidP="00C90AA0">
      <w:pPr>
        <w:numPr>
          <w:ilvl w:val="0"/>
          <w:numId w:val="5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zakaz rozliczania kosztów pośrednich w kosztach bezpośrednich</w:t>
      </w:r>
      <w:r w:rsidR="0028673C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i odwrotnie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;</w:t>
      </w:r>
    </w:p>
    <w:p w14:paraId="6FEF5C49" w14:textId="77777777" w:rsidR="00CC08BD" w:rsidRPr="00B12E39" w:rsidRDefault="00CC08BD" w:rsidP="00C90AA0">
      <w:pPr>
        <w:numPr>
          <w:ilvl w:val="0"/>
          <w:numId w:val="5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zakaz rozliczania cross-financingu w kosztach pośrednich;</w:t>
      </w:r>
    </w:p>
    <w:p w14:paraId="4CB4505C" w14:textId="77777777" w:rsidR="00CC08BD" w:rsidRPr="00B12E39" w:rsidRDefault="00CC08BD" w:rsidP="00C90AA0">
      <w:pPr>
        <w:numPr>
          <w:ilvl w:val="0"/>
          <w:numId w:val="5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ryzyko podwójnego finansowania wydatków.</w:t>
      </w:r>
    </w:p>
    <w:p w14:paraId="3C7BAC38" w14:textId="77777777" w:rsidR="00CC08BD" w:rsidRPr="00B12E39" w:rsidRDefault="00CC08BD" w:rsidP="00C90AA0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6. Zamówienia w ramach projektu</w:t>
      </w:r>
    </w:p>
    <w:p w14:paraId="6F8AAF2A" w14:textId="77777777" w:rsidR="00CC08BD" w:rsidRPr="00B12E39" w:rsidRDefault="00CC08BD" w:rsidP="00C90AA0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zasada konkurencyjności;</w:t>
      </w:r>
    </w:p>
    <w:p w14:paraId="366EE1C2" w14:textId="2F50FA10" w:rsidR="00CC08BD" w:rsidRPr="00B12E39" w:rsidRDefault="00CC08BD" w:rsidP="00C90AA0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najważniejsze zmiany w stosunku do perspektywy finansowej 2014</w:t>
      </w:r>
      <w:r w:rsidR="00860AD8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-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2020;</w:t>
      </w:r>
    </w:p>
    <w:p w14:paraId="56D7A0EC" w14:textId="77777777" w:rsidR="00CC08BD" w:rsidRPr="00B12E39" w:rsidRDefault="00CC08BD" w:rsidP="00C90AA0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przygotowanie i przeprowadzenie postępowania o udzielenie zamówienia;</w:t>
      </w:r>
    </w:p>
    <w:p w14:paraId="29456895" w14:textId="10A4BD39" w:rsidR="00CC08BD" w:rsidRPr="00B12E39" w:rsidRDefault="00CC08BD" w:rsidP="00C90AA0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szacowanie wartości zamówienia i zakaz niedozwolonego podziału zamówienia</w:t>
      </w:r>
      <w:r w:rsidR="006F0D98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– tożsamość przedmiotowa, podmiotowa i czasowa;</w:t>
      </w:r>
    </w:p>
    <w:p w14:paraId="66C9F6B7" w14:textId="77777777" w:rsidR="00CC08BD" w:rsidRPr="00B12E39" w:rsidRDefault="00CC08BD" w:rsidP="00C90AA0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opis przedmiotu zamówienia, warunki udziału i kryteria oceny ofert;</w:t>
      </w:r>
    </w:p>
    <w:p w14:paraId="6D0ABB78" w14:textId="77777777" w:rsidR="00CC08BD" w:rsidRPr="00B12E39" w:rsidRDefault="00CC08BD" w:rsidP="00C90AA0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lastRenderedPageBreak/>
        <w:t>publikacja zapytania ofertowego i komunikacja z wykonawcami;</w:t>
      </w:r>
    </w:p>
    <w:p w14:paraId="4FC6E780" w14:textId="77777777" w:rsidR="00CC08BD" w:rsidRPr="00B12E39" w:rsidRDefault="00CC08BD" w:rsidP="00C90AA0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wybór wykonawcy i dokumentowanie postępowania;</w:t>
      </w:r>
    </w:p>
    <w:p w14:paraId="1CABEB8D" w14:textId="77777777" w:rsidR="00CC08BD" w:rsidRPr="00B12E39" w:rsidRDefault="00CC08BD" w:rsidP="00C90AA0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konflikt interesów;</w:t>
      </w:r>
    </w:p>
    <w:p w14:paraId="0A782FBB" w14:textId="77777777" w:rsidR="00CC08BD" w:rsidRPr="00B12E39" w:rsidRDefault="00CC08BD" w:rsidP="00C90AA0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zmiany umowy z wykonawcą;</w:t>
      </w:r>
    </w:p>
    <w:p w14:paraId="3FCBD28E" w14:textId="77777777" w:rsidR="00CC08BD" w:rsidRPr="00B12E39" w:rsidRDefault="00CC08BD" w:rsidP="00C90AA0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najczęstsze nieprawidłowości i ryzyko korekt finansowych.</w:t>
      </w:r>
    </w:p>
    <w:p w14:paraId="09595F37" w14:textId="77777777" w:rsidR="00CC08BD" w:rsidRPr="00B12E39" w:rsidRDefault="00CC08BD" w:rsidP="00C90AA0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7. Uproszczone metody rozliczania wydatków – ogólne zasady</w:t>
      </w:r>
    </w:p>
    <w:p w14:paraId="44A67B5A" w14:textId="77777777" w:rsidR="00CC08BD" w:rsidRPr="00B12E39" w:rsidRDefault="00CC08BD" w:rsidP="00C90AA0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istota uproszczonych metod rozliczania wydatków;</w:t>
      </w:r>
    </w:p>
    <w:p w14:paraId="41D6F247" w14:textId="77777777" w:rsidR="00CC08BD" w:rsidRPr="00B12E39" w:rsidRDefault="00CC08BD" w:rsidP="00C90AA0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różnice pomiędzy wydatkami rzeczywiście poniesionymi a metodami uproszczonymi;</w:t>
      </w:r>
    </w:p>
    <w:p w14:paraId="4801DB2A" w14:textId="6B63A3FD" w:rsidR="00CC08BD" w:rsidRPr="00B12E39" w:rsidRDefault="00860AD8" w:rsidP="00860AD8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omówienie metod uproszczonych - </w:t>
      </w:r>
      <w:r w:rsidR="00CC08BD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stawki jednostkowe;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</w:t>
      </w:r>
      <w:r w:rsidR="00CC08BD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kwoty ryczałtowe;</w:t>
      </w: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 </w:t>
      </w:r>
      <w:r w:rsidR="00CC08BD"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stawki ryczałtowe;</w:t>
      </w:r>
    </w:p>
    <w:p w14:paraId="0A41BCB8" w14:textId="77777777" w:rsidR="00CC08BD" w:rsidRPr="00B12E39" w:rsidRDefault="00CC08BD" w:rsidP="00C90AA0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dokumentowanie wykonania działań i osiągnięcia rezultatów;</w:t>
      </w:r>
    </w:p>
    <w:p w14:paraId="16F185E2" w14:textId="77777777" w:rsidR="00CC08BD" w:rsidRPr="00B12E39" w:rsidRDefault="00CC08BD" w:rsidP="00C90AA0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B12E39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konsekwencje nieosiągnięcia założonych efektów projektu.</w:t>
      </w:r>
    </w:p>
    <w:p w14:paraId="470F24BF" w14:textId="77777777" w:rsidR="00B12E39" w:rsidRPr="00B12E39" w:rsidRDefault="00B12E39" w:rsidP="00C90AA0">
      <w:pPr>
        <w:spacing w:before="120" w:after="0" w:line="360" w:lineRule="auto"/>
        <w:jc w:val="both"/>
        <w:outlineLvl w:val="0"/>
        <w:rPr>
          <w:rFonts w:ascii="Tahoma" w:eastAsia="Times New Roman" w:hAnsi="Tahoma" w:cs="Tahoma"/>
          <w:b/>
          <w:bCs/>
          <w:kern w:val="36"/>
          <w:sz w:val="18"/>
          <w:szCs w:val="18"/>
          <w:lang w:eastAsia="pl-PL"/>
          <w14:ligatures w14:val="none"/>
        </w:rPr>
      </w:pPr>
    </w:p>
    <w:p w14:paraId="76AD6F11" w14:textId="77777777" w:rsidR="00B12E39" w:rsidRPr="00B12E39" w:rsidRDefault="00B12E39" w:rsidP="00C90AA0">
      <w:pPr>
        <w:spacing w:before="120" w:after="0" w:line="360" w:lineRule="auto"/>
        <w:jc w:val="both"/>
        <w:outlineLvl w:val="0"/>
        <w:rPr>
          <w:rFonts w:ascii="Tahoma" w:eastAsia="Times New Roman" w:hAnsi="Tahoma" w:cs="Tahoma"/>
          <w:b/>
          <w:bCs/>
          <w:kern w:val="36"/>
          <w:sz w:val="18"/>
          <w:szCs w:val="18"/>
          <w:lang w:eastAsia="pl-PL"/>
          <w14:ligatures w14:val="none"/>
        </w:rPr>
      </w:pPr>
    </w:p>
    <w:p w14:paraId="458F01AE" w14:textId="77777777" w:rsidR="00B12E39" w:rsidRPr="00B12E39" w:rsidRDefault="00B12E39" w:rsidP="00C90AA0">
      <w:pPr>
        <w:spacing w:before="120" w:after="0" w:line="360" w:lineRule="auto"/>
        <w:jc w:val="both"/>
        <w:outlineLvl w:val="0"/>
        <w:rPr>
          <w:rFonts w:ascii="Tahoma" w:eastAsia="Times New Roman" w:hAnsi="Tahoma" w:cs="Tahoma"/>
          <w:b/>
          <w:bCs/>
          <w:kern w:val="36"/>
          <w:sz w:val="18"/>
          <w:szCs w:val="18"/>
          <w:lang w:eastAsia="pl-PL"/>
          <w14:ligatures w14:val="none"/>
        </w:rPr>
      </w:pPr>
    </w:p>
    <w:sectPr w:rsidR="00B12E39" w:rsidRPr="00B12E3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36EED" w14:textId="77777777" w:rsidR="007F5E18" w:rsidRDefault="007F5E18" w:rsidP="00B12E39">
      <w:pPr>
        <w:spacing w:after="0" w:line="240" w:lineRule="auto"/>
      </w:pPr>
      <w:r>
        <w:separator/>
      </w:r>
    </w:p>
  </w:endnote>
  <w:endnote w:type="continuationSeparator" w:id="0">
    <w:p w14:paraId="54FF5AA6" w14:textId="77777777" w:rsidR="007F5E18" w:rsidRDefault="007F5E18" w:rsidP="00B12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647F3" w14:textId="77777777" w:rsidR="007F5E18" w:rsidRDefault="007F5E18" w:rsidP="00B12E39">
      <w:pPr>
        <w:spacing w:after="0" w:line="240" w:lineRule="auto"/>
      </w:pPr>
      <w:r>
        <w:separator/>
      </w:r>
    </w:p>
  </w:footnote>
  <w:footnote w:type="continuationSeparator" w:id="0">
    <w:p w14:paraId="3A9C1A7A" w14:textId="77777777" w:rsidR="007F5E18" w:rsidRDefault="007F5E18" w:rsidP="00B12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342A7" w14:textId="1FCC088C" w:rsidR="00B12E39" w:rsidRDefault="00B12E39">
    <w:pPr>
      <w:pStyle w:val="Nagwek"/>
    </w:pPr>
    <w:r>
      <w:rPr>
        <w:noProof/>
      </w:rPr>
      <w:drawing>
        <wp:inline distT="0" distB="0" distL="0" distR="0" wp14:anchorId="717096B5" wp14:editId="7239BA3C">
          <wp:extent cx="5760720" cy="677769"/>
          <wp:effectExtent l="0" t="0" r="0" b="0"/>
          <wp:docPr id="5374405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77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B0F48"/>
    <w:multiLevelType w:val="multilevel"/>
    <w:tmpl w:val="6546AE4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66112D"/>
    <w:multiLevelType w:val="multilevel"/>
    <w:tmpl w:val="FDE8317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9C4092"/>
    <w:multiLevelType w:val="multilevel"/>
    <w:tmpl w:val="BF92C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FA096E"/>
    <w:multiLevelType w:val="multilevel"/>
    <w:tmpl w:val="C9E615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06570B"/>
    <w:multiLevelType w:val="multilevel"/>
    <w:tmpl w:val="F506809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077B91"/>
    <w:multiLevelType w:val="multilevel"/>
    <w:tmpl w:val="D6FAD97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2D3FE9"/>
    <w:multiLevelType w:val="multilevel"/>
    <w:tmpl w:val="133ADFB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237FF7"/>
    <w:multiLevelType w:val="multilevel"/>
    <w:tmpl w:val="D4289BA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EF53E6"/>
    <w:multiLevelType w:val="multilevel"/>
    <w:tmpl w:val="829AB2E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210F79"/>
    <w:multiLevelType w:val="multilevel"/>
    <w:tmpl w:val="C28E42D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9"/>
  </w:num>
  <w:num w:numId="6">
    <w:abstractNumId w:val="5"/>
  </w:num>
  <w:num w:numId="7">
    <w:abstractNumId w:val="8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8BD"/>
    <w:rsid w:val="00013AB8"/>
    <w:rsid w:val="00097252"/>
    <w:rsid w:val="001D01FC"/>
    <w:rsid w:val="001D3FBB"/>
    <w:rsid w:val="00235D95"/>
    <w:rsid w:val="0028673C"/>
    <w:rsid w:val="002A4971"/>
    <w:rsid w:val="002B2214"/>
    <w:rsid w:val="002F1FA2"/>
    <w:rsid w:val="004231FA"/>
    <w:rsid w:val="0044439E"/>
    <w:rsid w:val="00541367"/>
    <w:rsid w:val="00575556"/>
    <w:rsid w:val="005D6E23"/>
    <w:rsid w:val="005E20D8"/>
    <w:rsid w:val="006F0D98"/>
    <w:rsid w:val="0075373D"/>
    <w:rsid w:val="007F5E18"/>
    <w:rsid w:val="00835A12"/>
    <w:rsid w:val="00836107"/>
    <w:rsid w:val="00860AD8"/>
    <w:rsid w:val="009439B6"/>
    <w:rsid w:val="009C190C"/>
    <w:rsid w:val="00A23EAC"/>
    <w:rsid w:val="00B12E39"/>
    <w:rsid w:val="00C76116"/>
    <w:rsid w:val="00C90AA0"/>
    <w:rsid w:val="00C95162"/>
    <w:rsid w:val="00CC08BD"/>
    <w:rsid w:val="00CD2062"/>
    <w:rsid w:val="00D45647"/>
    <w:rsid w:val="00D56A81"/>
    <w:rsid w:val="00E22AA8"/>
    <w:rsid w:val="00E811D8"/>
    <w:rsid w:val="00F044AA"/>
    <w:rsid w:val="00FB57D8"/>
    <w:rsid w:val="00FD26B5"/>
    <w:rsid w:val="00FD3F6C"/>
    <w:rsid w:val="00FF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90B48"/>
  <w15:chartTrackingRefBased/>
  <w15:docId w15:val="{CF7FCD00-FC4F-7B42-8398-83E11958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C08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08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C08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08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08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08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08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08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08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08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C08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CC08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08B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08B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08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08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08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08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08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0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08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0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08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08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08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08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08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08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08BD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ny"/>
    <w:rsid w:val="00CC0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C08B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95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12E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2E39"/>
  </w:style>
  <w:style w:type="paragraph" w:styleId="Stopka">
    <w:name w:val="footer"/>
    <w:basedOn w:val="Normalny"/>
    <w:link w:val="StopkaZnak"/>
    <w:uiPriority w:val="99"/>
    <w:unhideWhenUsed/>
    <w:rsid w:val="00B12E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2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534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Drelich</dc:creator>
  <cp:keywords/>
  <dc:description/>
  <cp:lastModifiedBy>Sabina Ropiak</cp:lastModifiedBy>
  <cp:revision>2</cp:revision>
  <dcterms:created xsi:type="dcterms:W3CDTF">2026-10-29T14:40:00Z</dcterms:created>
  <dcterms:modified xsi:type="dcterms:W3CDTF">2026-10-29T14:40:00Z</dcterms:modified>
</cp:coreProperties>
</file>