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9C7FA" w14:textId="259CB9F6" w:rsidR="003A4C27" w:rsidRPr="003A7200" w:rsidRDefault="003A4C27" w:rsidP="003A7200">
      <w:pPr>
        <w:spacing w:line="360" w:lineRule="auto"/>
        <w:jc w:val="both"/>
        <w:rPr>
          <w:rFonts w:ascii="Open Sans" w:hAnsi="Open Sans" w:cs="Open Sans"/>
          <w:b/>
          <w:bCs/>
        </w:rPr>
      </w:pPr>
      <w:r w:rsidRPr="003A7200">
        <w:rPr>
          <w:rFonts w:ascii="Open Sans" w:hAnsi="Open Sans" w:cs="Open Sans"/>
          <w:b/>
          <w:bCs/>
        </w:rPr>
        <w:t>Pytanie 1:</w:t>
      </w:r>
    </w:p>
    <w:p w14:paraId="7C4818E8" w14:textId="4FEACEBB" w:rsidR="0068735E" w:rsidRPr="003A7200" w:rsidRDefault="0068735E" w:rsidP="003A7200">
      <w:pPr>
        <w:spacing w:line="360" w:lineRule="auto"/>
        <w:jc w:val="both"/>
        <w:rPr>
          <w:rFonts w:ascii="Open Sans" w:hAnsi="Open Sans" w:cs="Open Sans"/>
        </w:rPr>
      </w:pPr>
      <w:r w:rsidRPr="003A7200">
        <w:rPr>
          <w:rFonts w:ascii="Open Sans" w:hAnsi="Open Sans" w:cs="Open Sans"/>
          <w:iCs/>
        </w:rPr>
        <w:t>Zał. nr 6 do RWP Zasady funkcjonowania PSF</w:t>
      </w:r>
    </w:p>
    <w:p w14:paraId="74F06421" w14:textId="2F60032B" w:rsidR="0068735E" w:rsidRPr="003A7200" w:rsidRDefault="0068735E" w:rsidP="003A7200">
      <w:pPr>
        <w:spacing w:line="360" w:lineRule="auto"/>
        <w:jc w:val="both"/>
        <w:rPr>
          <w:rFonts w:ascii="Open Sans" w:hAnsi="Open Sans" w:cs="Open Sans"/>
        </w:rPr>
      </w:pPr>
      <w:r w:rsidRPr="003A7200">
        <w:rPr>
          <w:rFonts w:ascii="Open Sans" w:hAnsi="Open Sans" w:cs="Open Sans"/>
          <w:bCs/>
          <w:iCs/>
        </w:rPr>
        <w:t>Koszt usługi rozwojowej nie może być większy jak roczny obrót  z działalności gospodarczej firmy.</w:t>
      </w:r>
    </w:p>
    <w:p w14:paraId="7FB32795" w14:textId="3BC55D98" w:rsidR="0068735E" w:rsidRPr="003A7200" w:rsidRDefault="0068735E" w:rsidP="003A7200">
      <w:pPr>
        <w:spacing w:after="0" w:line="360" w:lineRule="auto"/>
        <w:jc w:val="both"/>
        <w:rPr>
          <w:rFonts w:ascii="Open Sans" w:hAnsi="Open Sans" w:cs="Open Sans"/>
        </w:rPr>
      </w:pPr>
      <w:r w:rsidRPr="003A7200">
        <w:rPr>
          <w:rFonts w:ascii="Open Sans" w:hAnsi="Open Sans" w:cs="Open Sans"/>
        </w:rPr>
        <w:t xml:space="preserve">Czy </w:t>
      </w:r>
      <w:r w:rsidR="0008346B">
        <w:rPr>
          <w:rFonts w:ascii="Open Sans" w:hAnsi="Open Sans" w:cs="Open Sans"/>
        </w:rPr>
        <w:t>o</w:t>
      </w:r>
      <w:r w:rsidRPr="003A7200">
        <w:rPr>
          <w:rFonts w:ascii="Open Sans" w:hAnsi="Open Sans" w:cs="Open Sans"/>
        </w:rPr>
        <w:t>perator ma zawierać taką informację w Regulaminie projektu? Co z MŚP, które działają 6 m</w:t>
      </w:r>
      <w:r w:rsidR="0008346B">
        <w:rPr>
          <w:rFonts w:ascii="Open Sans" w:hAnsi="Open Sans" w:cs="Open Sans"/>
        </w:rPr>
        <w:t>iesię</w:t>
      </w:r>
      <w:r w:rsidRPr="003A7200">
        <w:rPr>
          <w:rFonts w:ascii="Open Sans" w:hAnsi="Open Sans" w:cs="Open Sans"/>
        </w:rPr>
        <w:t>cy? lub nie wykazują jeszcze obrotu lub nawet stratę?</w:t>
      </w:r>
    </w:p>
    <w:p w14:paraId="445AE521" w14:textId="77777777" w:rsidR="003A4C27" w:rsidRPr="003A7200" w:rsidRDefault="003A4C27" w:rsidP="003A7200">
      <w:pPr>
        <w:spacing w:after="0" w:line="360" w:lineRule="auto"/>
        <w:jc w:val="both"/>
        <w:rPr>
          <w:rFonts w:ascii="Open Sans" w:hAnsi="Open Sans" w:cs="Open Sans"/>
          <w:b/>
          <w:bCs/>
        </w:rPr>
      </w:pPr>
    </w:p>
    <w:p w14:paraId="17026BC7" w14:textId="116662B0" w:rsidR="0068735E" w:rsidRPr="003A7200" w:rsidRDefault="0068735E" w:rsidP="003A7200">
      <w:pPr>
        <w:spacing w:line="360" w:lineRule="auto"/>
        <w:jc w:val="both"/>
        <w:rPr>
          <w:rFonts w:ascii="Open Sans" w:hAnsi="Open Sans" w:cs="Open Sans"/>
          <w:b/>
          <w:bCs/>
        </w:rPr>
      </w:pPr>
      <w:r w:rsidRPr="003A7200">
        <w:rPr>
          <w:rFonts w:ascii="Open Sans" w:hAnsi="Open Sans" w:cs="Open Sans"/>
          <w:b/>
          <w:bCs/>
        </w:rPr>
        <w:t>Odpowiedź:</w:t>
      </w:r>
    </w:p>
    <w:p w14:paraId="27892252" w14:textId="267A005C" w:rsidR="000C152B" w:rsidRPr="003A7200" w:rsidRDefault="000C152B" w:rsidP="003A7200">
      <w:pPr>
        <w:spacing w:line="360" w:lineRule="auto"/>
        <w:jc w:val="both"/>
        <w:rPr>
          <w:rFonts w:ascii="Open Sans" w:hAnsi="Open Sans" w:cs="Open Sans"/>
        </w:rPr>
      </w:pPr>
      <w:r w:rsidRPr="003A7200">
        <w:rPr>
          <w:rFonts w:ascii="Open Sans" w:hAnsi="Open Sans" w:cs="Open Sans"/>
        </w:rPr>
        <w:t xml:space="preserve">Celem warunku „Koszt usługi rozwojowej nie może być większy jak roczny obrót z działalności gospodarczej firmy” jest zapewnienie możliwości wniesienia wkładu własnego przez przedsiębiorcę. Ze względu na to, że wsparcie finansowe na realizację usług rozwojowych ma stanowić zachętę do inwestowania w obszar kompetencji i umiejętności MŚP, nie jest zaś grantem finansowym na rozpoczęcie działalności, to przedsiębiorstwo  korzystające z dofinansowania usługi rozwojowej powinno wykazać przynajmniej minimalny poziom działalności firmy, adekwatny do wsparcia o które się ubiega. Wskaźnikiem proporcjonalności i adekwatności udzielanego wsparcia  w odniesieniu do działalności w tym wypadku jest m.in. roczny obrót firmy równy lub większy niż koszty usług rozwojowych określonych w umowie wsparcia. </w:t>
      </w:r>
    </w:p>
    <w:p w14:paraId="7877195E" w14:textId="4B853D5C" w:rsidR="0068735E" w:rsidRPr="003A7200" w:rsidRDefault="000C152B" w:rsidP="003A7200">
      <w:pPr>
        <w:spacing w:line="360" w:lineRule="auto"/>
        <w:jc w:val="both"/>
        <w:rPr>
          <w:rFonts w:ascii="Open Sans" w:hAnsi="Open Sans" w:cs="Open Sans"/>
        </w:rPr>
      </w:pPr>
      <w:r w:rsidRPr="003A7200">
        <w:rPr>
          <w:rFonts w:ascii="Open Sans" w:hAnsi="Open Sans" w:cs="Open Sans"/>
        </w:rPr>
        <w:t xml:space="preserve">Zgodnie z </w:t>
      </w:r>
      <w:r w:rsidR="0008346B">
        <w:rPr>
          <w:rFonts w:ascii="Open Sans" w:hAnsi="Open Sans" w:cs="Open Sans"/>
        </w:rPr>
        <w:t>„</w:t>
      </w:r>
      <w:r w:rsidRPr="003A7200">
        <w:rPr>
          <w:rFonts w:ascii="Open Sans" w:hAnsi="Open Sans" w:cs="Open Sans"/>
        </w:rPr>
        <w:t>Ustawą o rachunkowości</w:t>
      </w:r>
      <w:r w:rsidR="0008346B">
        <w:rPr>
          <w:rFonts w:ascii="Open Sans" w:hAnsi="Open Sans" w:cs="Open Sans"/>
        </w:rPr>
        <w:t>”</w:t>
      </w:r>
      <w:r w:rsidRPr="003A7200">
        <w:rPr>
          <w:rFonts w:ascii="Open Sans" w:hAnsi="Open Sans" w:cs="Open Sans"/>
        </w:rPr>
        <w:t xml:space="preserve"> (Dz.U. z 2002 r. nr 76, poz. 694) obrót definiowany jest jako przychód netto ze sprzedaży towarów, produktów i operacji finansowych.</w:t>
      </w:r>
    </w:p>
    <w:p w14:paraId="68063254" w14:textId="7F8400C6" w:rsidR="009A2DE0" w:rsidRPr="003A7200" w:rsidRDefault="009A2DE0" w:rsidP="003A7200">
      <w:pPr>
        <w:spacing w:line="360" w:lineRule="auto"/>
        <w:jc w:val="both"/>
        <w:rPr>
          <w:rFonts w:ascii="Open Sans" w:hAnsi="Open Sans" w:cs="Open Sans"/>
        </w:rPr>
      </w:pPr>
      <w:r w:rsidRPr="003A7200">
        <w:rPr>
          <w:rFonts w:ascii="Open Sans" w:hAnsi="Open Sans" w:cs="Open Sans"/>
        </w:rPr>
        <w:t>Warunek ten powinien zostać uwzględniony w Regulaminie rekrutacyjnym</w:t>
      </w:r>
      <w:r w:rsidR="0008346B">
        <w:rPr>
          <w:rFonts w:ascii="Open Sans" w:hAnsi="Open Sans" w:cs="Open Sans"/>
        </w:rPr>
        <w:t>,</w:t>
      </w:r>
      <w:r w:rsidRPr="003A7200">
        <w:rPr>
          <w:rFonts w:ascii="Open Sans" w:hAnsi="Open Sans" w:cs="Open Sans"/>
        </w:rPr>
        <w:t xml:space="preserve"> żeby MŚP, które będą zgłaszać się do </w:t>
      </w:r>
      <w:r w:rsidR="0008346B">
        <w:rPr>
          <w:rFonts w:ascii="Open Sans" w:hAnsi="Open Sans" w:cs="Open Sans"/>
        </w:rPr>
        <w:t>o</w:t>
      </w:r>
      <w:r w:rsidRPr="003A7200">
        <w:rPr>
          <w:rFonts w:ascii="Open Sans" w:hAnsi="Open Sans" w:cs="Open Sans"/>
        </w:rPr>
        <w:t>peratora</w:t>
      </w:r>
      <w:r w:rsidR="000C152B" w:rsidRPr="003A7200">
        <w:rPr>
          <w:rFonts w:ascii="Open Sans" w:hAnsi="Open Sans" w:cs="Open Sans"/>
        </w:rPr>
        <w:t>,</w:t>
      </w:r>
      <w:r w:rsidRPr="003A7200">
        <w:rPr>
          <w:rFonts w:ascii="Open Sans" w:hAnsi="Open Sans" w:cs="Open Sans"/>
        </w:rPr>
        <w:t xml:space="preserve"> wiedziały</w:t>
      </w:r>
      <w:r w:rsidR="0008346B">
        <w:rPr>
          <w:rFonts w:ascii="Open Sans" w:hAnsi="Open Sans" w:cs="Open Sans"/>
        </w:rPr>
        <w:t>,</w:t>
      </w:r>
      <w:r w:rsidRPr="003A7200">
        <w:rPr>
          <w:rFonts w:ascii="Open Sans" w:hAnsi="Open Sans" w:cs="Open Sans"/>
        </w:rPr>
        <w:t xml:space="preserve"> czy mogą skorzystać ze wsparcia czy nie.</w:t>
      </w:r>
    </w:p>
    <w:p w14:paraId="2E275EBB" w14:textId="4FE92143" w:rsidR="009A2DE0" w:rsidRPr="003A7200" w:rsidRDefault="00597926" w:rsidP="003A7200">
      <w:pPr>
        <w:spacing w:line="360" w:lineRule="auto"/>
        <w:jc w:val="both"/>
        <w:rPr>
          <w:rFonts w:ascii="Open Sans" w:hAnsi="Open Sans" w:cs="Open Sans"/>
        </w:rPr>
      </w:pPr>
      <w:r w:rsidRPr="003A7200">
        <w:rPr>
          <w:rFonts w:ascii="Open Sans" w:hAnsi="Open Sans" w:cs="Open Sans"/>
        </w:rPr>
        <w:t xml:space="preserve">Jeżeli dane MŚP działa krócej niż 12 miesięcy, ale co najmniej niż 6 miesięcy przed otrzymaniem wsparcia, to należy wyliczyć obrót za okres działalności gospodarczej tej firmy. </w:t>
      </w:r>
    </w:p>
    <w:p w14:paraId="3DADE9F2" w14:textId="1F41AEDD" w:rsidR="00597926" w:rsidRPr="003A7200" w:rsidRDefault="00597926" w:rsidP="003A7200">
      <w:pPr>
        <w:spacing w:line="360" w:lineRule="auto"/>
        <w:jc w:val="both"/>
        <w:rPr>
          <w:rFonts w:ascii="Open Sans" w:hAnsi="Open Sans" w:cs="Open Sans"/>
        </w:rPr>
      </w:pPr>
      <w:r w:rsidRPr="003A7200">
        <w:rPr>
          <w:rFonts w:ascii="Open Sans" w:hAnsi="Open Sans" w:cs="Open Sans"/>
        </w:rPr>
        <w:t>Warunek ten nie ma na celu sprawdzenia kondycji finansowej firmy (straty bądź zysku). MŚP może mieć stratę, ale jednocześnie wykazać obrót (albo roczny</w:t>
      </w:r>
      <w:r w:rsidR="0008346B">
        <w:rPr>
          <w:rFonts w:ascii="Open Sans" w:hAnsi="Open Sans" w:cs="Open Sans"/>
        </w:rPr>
        <w:t>,</w:t>
      </w:r>
      <w:r w:rsidRPr="003A7200">
        <w:rPr>
          <w:rFonts w:ascii="Open Sans" w:hAnsi="Open Sans" w:cs="Open Sans"/>
        </w:rPr>
        <w:t xml:space="preserve"> albo obejmujący okres działalności</w:t>
      </w:r>
      <w:r w:rsidR="0008346B">
        <w:rPr>
          <w:rFonts w:ascii="Open Sans" w:hAnsi="Open Sans" w:cs="Open Sans"/>
        </w:rPr>
        <w:t>,</w:t>
      </w:r>
      <w:r w:rsidRPr="003A7200">
        <w:rPr>
          <w:rFonts w:ascii="Open Sans" w:hAnsi="Open Sans" w:cs="Open Sans"/>
        </w:rPr>
        <w:t xml:space="preserve"> w przypadku gdy firma działa krócej niż 12 miesięcy). Obrót wskazuje, </w:t>
      </w:r>
      <w:r w:rsidRPr="003A7200">
        <w:rPr>
          <w:rFonts w:ascii="Open Sans" w:hAnsi="Open Sans" w:cs="Open Sans"/>
        </w:rPr>
        <w:lastRenderedPageBreak/>
        <w:t xml:space="preserve">że firma wykonuje swoją podstawową działalność. Będzie on weryfikowany na podstawie formularza dot. pomocy </w:t>
      </w:r>
      <w:r w:rsidRPr="001C5299">
        <w:rPr>
          <w:rFonts w:ascii="Open Sans" w:hAnsi="Open Sans" w:cs="Open Sans"/>
        </w:rPr>
        <w:t xml:space="preserve">de </w:t>
      </w:r>
      <w:proofErr w:type="spellStart"/>
      <w:r w:rsidRPr="001C5299">
        <w:rPr>
          <w:rFonts w:ascii="Open Sans" w:hAnsi="Open Sans" w:cs="Open Sans"/>
        </w:rPr>
        <w:t>minimis</w:t>
      </w:r>
      <w:proofErr w:type="spellEnd"/>
      <w:r w:rsidRPr="003A7200">
        <w:rPr>
          <w:rFonts w:ascii="Open Sans" w:hAnsi="Open Sans" w:cs="Open Sans"/>
        </w:rPr>
        <w:t>.</w:t>
      </w:r>
    </w:p>
    <w:p w14:paraId="14F08687" w14:textId="6A65AFB3" w:rsidR="003A4C27" w:rsidRPr="003A7200" w:rsidRDefault="003A4C27" w:rsidP="003A7200">
      <w:pPr>
        <w:spacing w:after="120" w:line="360" w:lineRule="auto"/>
        <w:jc w:val="both"/>
        <w:rPr>
          <w:rFonts w:ascii="Open Sans" w:hAnsi="Open Sans" w:cs="Open Sans"/>
        </w:rPr>
      </w:pPr>
    </w:p>
    <w:p w14:paraId="5A124AE1" w14:textId="1D4A48F6" w:rsidR="003A4C27" w:rsidRPr="003A7200" w:rsidRDefault="003A4C27" w:rsidP="003A7200">
      <w:pPr>
        <w:spacing w:line="360" w:lineRule="auto"/>
        <w:jc w:val="both"/>
        <w:rPr>
          <w:rFonts w:ascii="Open Sans" w:hAnsi="Open Sans" w:cs="Open Sans"/>
          <w:b/>
          <w:bCs/>
        </w:rPr>
      </w:pPr>
      <w:r w:rsidRPr="003A7200">
        <w:rPr>
          <w:rFonts w:ascii="Open Sans" w:hAnsi="Open Sans" w:cs="Open Sans"/>
          <w:b/>
          <w:bCs/>
        </w:rPr>
        <w:t>Pytanie 2:</w:t>
      </w:r>
    </w:p>
    <w:p w14:paraId="52ED7374" w14:textId="71121952" w:rsidR="0068735E" w:rsidRPr="003A7200" w:rsidRDefault="0068735E" w:rsidP="003A7200">
      <w:pPr>
        <w:spacing w:line="360" w:lineRule="auto"/>
        <w:jc w:val="both"/>
        <w:rPr>
          <w:rFonts w:ascii="Open Sans" w:hAnsi="Open Sans" w:cs="Open Sans"/>
        </w:rPr>
      </w:pPr>
      <w:r w:rsidRPr="003A7200">
        <w:rPr>
          <w:rFonts w:ascii="Open Sans" w:hAnsi="Open Sans" w:cs="Open Sans"/>
          <w:bCs/>
          <w:iCs/>
        </w:rPr>
        <w:t>Podpisanie umowy dotyczącej świadczenia usługi rozwojowej (MŚP–firma szkoleniowa)</w:t>
      </w:r>
      <w:r w:rsidRPr="003A7200">
        <w:rPr>
          <w:rFonts w:ascii="Open Sans" w:hAnsi="Open Sans" w:cs="Open Sans"/>
          <w:bCs/>
          <w:iCs/>
        </w:rPr>
        <w:br/>
      </w:r>
      <w:r w:rsidRPr="003A7200">
        <w:rPr>
          <w:rFonts w:ascii="Open Sans" w:hAnsi="Open Sans" w:cs="Open Sans"/>
          <w:iCs/>
        </w:rPr>
        <w:t>Pomiędzy MŚP a wybranym przez nie podmiotem świadczącym usługi rozwojowe zostaje zawarta umowa o świadczenie usługi rozwojowej.</w:t>
      </w:r>
    </w:p>
    <w:p w14:paraId="7A7311E3" w14:textId="604CFECE" w:rsidR="0068735E" w:rsidRPr="003A7200" w:rsidRDefault="0068735E" w:rsidP="003A7200">
      <w:pPr>
        <w:spacing w:line="360" w:lineRule="auto"/>
        <w:jc w:val="both"/>
        <w:rPr>
          <w:rFonts w:ascii="Open Sans" w:hAnsi="Open Sans" w:cs="Open Sans"/>
        </w:rPr>
      </w:pPr>
      <w:r w:rsidRPr="003A7200">
        <w:rPr>
          <w:rFonts w:ascii="Open Sans" w:hAnsi="Open Sans" w:cs="Open Sans"/>
          <w:iCs/>
        </w:rPr>
        <w:t xml:space="preserve">Warto zwrócić uwagę, żeby była to umowa, która zostanie uruchomiona po podpisaniu przez MŚP z </w:t>
      </w:r>
      <w:r w:rsidR="0008346B">
        <w:rPr>
          <w:rFonts w:ascii="Open Sans" w:hAnsi="Open Sans" w:cs="Open Sans"/>
          <w:iCs/>
        </w:rPr>
        <w:t>o</w:t>
      </w:r>
      <w:r w:rsidRPr="003A7200">
        <w:rPr>
          <w:rFonts w:ascii="Open Sans" w:hAnsi="Open Sans" w:cs="Open Sans"/>
          <w:iCs/>
        </w:rPr>
        <w:t>peratorem umowy dotyczącej dofinansowania usługi.</w:t>
      </w:r>
    </w:p>
    <w:p w14:paraId="2B822F1F" w14:textId="5B6FB9C5" w:rsidR="0068735E" w:rsidRPr="003A7200" w:rsidRDefault="0068735E" w:rsidP="003A7200">
      <w:pPr>
        <w:spacing w:line="360" w:lineRule="auto"/>
        <w:jc w:val="both"/>
        <w:rPr>
          <w:rFonts w:ascii="Open Sans" w:hAnsi="Open Sans" w:cs="Open Sans"/>
        </w:rPr>
      </w:pPr>
      <w:r w:rsidRPr="003A7200">
        <w:rPr>
          <w:rFonts w:ascii="Open Sans" w:hAnsi="Open Sans" w:cs="Open Sans"/>
        </w:rPr>
        <w:t>Umowa MŚP</w:t>
      </w:r>
      <w:r w:rsidR="0008346B">
        <w:rPr>
          <w:rFonts w:ascii="Open Sans" w:hAnsi="Open Sans" w:cs="Open Sans"/>
        </w:rPr>
        <w:t>–</w:t>
      </w:r>
      <w:r w:rsidRPr="003A7200">
        <w:rPr>
          <w:rFonts w:ascii="Open Sans" w:hAnsi="Open Sans" w:cs="Open Sans"/>
        </w:rPr>
        <w:t>firma szkoleniowa jest też wymieniana:</w:t>
      </w:r>
      <w:r w:rsidR="0008346B">
        <w:rPr>
          <w:rFonts w:ascii="Open Sans" w:hAnsi="Open Sans" w:cs="Open Sans"/>
        </w:rPr>
        <w:t xml:space="preserve"> </w:t>
      </w:r>
      <w:r w:rsidRPr="003A7200">
        <w:rPr>
          <w:rFonts w:ascii="Open Sans" w:hAnsi="Open Sans" w:cs="Open Sans"/>
        </w:rPr>
        <w:t>m.in. przy rozliczeniu usługi rozwojowej</w:t>
      </w:r>
      <w:r w:rsidR="0008346B">
        <w:rPr>
          <w:rFonts w:ascii="Open Sans" w:hAnsi="Open Sans" w:cs="Open Sans"/>
        </w:rPr>
        <w:t>.</w:t>
      </w:r>
    </w:p>
    <w:p w14:paraId="5DF69AB9" w14:textId="4471F68E" w:rsidR="0068735E" w:rsidRPr="003A7200" w:rsidRDefault="0068735E" w:rsidP="003A7200">
      <w:pPr>
        <w:spacing w:after="0" w:line="360" w:lineRule="auto"/>
        <w:jc w:val="both"/>
        <w:rPr>
          <w:rFonts w:ascii="Open Sans" w:hAnsi="Open Sans" w:cs="Open Sans"/>
        </w:rPr>
      </w:pPr>
      <w:r w:rsidRPr="003A7200">
        <w:rPr>
          <w:rFonts w:ascii="Open Sans" w:hAnsi="Open Sans" w:cs="Open Sans"/>
        </w:rPr>
        <w:t xml:space="preserve">Czy </w:t>
      </w:r>
      <w:r w:rsidR="0008346B">
        <w:rPr>
          <w:rFonts w:ascii="Open Sans" w:hAnsi="Open Sans" w:cs="Open Sans"/>
        </w:rPr>
        <w:t>o</w:t>
      </w:r>
      <w:r w:rsidRPr="003A7200">
        <w:rPr>
          <w:rFonts w:ascii="Open Sans" w:hAnsi="Open Sans" w:cs="Open Sans"/>
        </w:rPr>
        <w:t>perator ma zbierać i weryfikować umowy zawarte MŚP</w:t>
      </w:r>
      <w:r w:rsidR="0008346B">
        <w:rPr>
          <w:rFonts w:ascii="Open Sans" w:hAnsi="Open Sans" w:cs="Open Sans"/>
        </w:rPr>
        <w:t>–</w:t>
      </w:r>
      <w:r w:rsidRPr="003A7200">
        <w:rPr>
          <w:rFonts w:ascii="Open Sans" w:hAnsi="Open Sans" w:cs="Open Sans"/>
        </w:rPr>
        <w:t>firma szkoleniowa? Czy MŚP ma przedstawiać do refundacji umowę? Może to rodzić kłopot w przypadku, gdy w umowach zawarta jest data szkolenia, która może ulec zmianie. Co w przypadku, gdy firma szkoleniowa jest spoza województwa, wtedy kłopot z podpisaniem przez obie strony? W poprzedniej perspektywie odeszliśmy od tego, zmniejszyło to ilość drukowanych dokumentów oraz właśnie kłopot z podpisywaniem przez obie strony.</w:t>
      </w:r>
    </w:p>
    <w:p w14:paraId="36E37ACD" w14:textId="77777777" w:rsidR="003A4C27" w:rsidRPr="003A7200" w:rsidRDefault="003A4C27" w:rsidP="003A7200">
      <w:pPr>
        <w:spacing w:after="0" w:line="360" w:lineRule="auto"/>
        <w:jc w:val="both"/>
        <w:rPr>
          <w:rFonts w:ascii="Open Sans" w:hAnsi="Open Sans" w:cs="Open Sans"/>
          <w:b/>
          <w:bCs/>
        </w:rPr>
      </w:pPr>
    </w:p>
    <w:p w14:paraId="589A8EEF" w14:textId="6E150165" w:rsidR="0068735E" w:rsidRPr="003A7200" w:rsidRDefault="0068735E" w:rsidP="003A7200">
      <w:pPr>
        <w:spacing w:line="360" w:lineRule="auto"/>
        <w:jc w:val="both"/>
        <w:rPr>
          <w:rFonts w:ascii="Open Sans" w:hAnsi="Open Sans" w:cs="Open Sans"/>
          <w:b/>
          <w:bCs/>
        </w:rPr>
      </w:pPr>
      <w:r w:rsidRPr="003A7200">
        <w:rPr>
          <w:rFonts w:ascii="Open Sans" w:hAnsi="Open Sans" w:cs="Open Sans"/>
          <w:b/>
          <w:bCs/>
        </w:rPr>
        <w:t>Odpowiedź:</w:t>
      </w:r>
    </w:p>
    <w:p w14:paraId="086D8C46" w14:textId="0B26D69A" w:rsidR="0068735E" w:rsidRPr="003A7200" w:rsidRDefault="00440CF9" w:rsidP="003A7200">
      <w:pPr>
        <w:spacing w:line="360" w:lineRule="auto"/>
        <w:jc w:val="both"/>
        <w:rPr>
          <w:rFonts w:ascii="Open Sans" w:eastAsia="Times New Roman" w:hAnsi="Open Sans" w:cs="Open Sans"/>
        </w:rPr>
      </w:pPr>
      <w:r w:rsidRPr="003A7200">
        <w:rPr>
          <w:rFonts w:ascii="Open Sans" w:hAnsi="Open Sans" w:cs="Open Sans"/>
        </w:rPr>
        <w:t>Zgodnie z Załącznikiem nr 6 do Regulaminu wyboru projektów</w:t>
      </w:r>
      <w:r w:rsidR="00A17253" w:rsidRPr="003A7200">
        <w:rPr>
          <w:rFonts w:ascii="Open Sans" w:hAnsi="Open Sans" w:cs="Open Sans"/>
        </w:rPr>
        <w:t xml:space="preserve"> niezbędnymi dokumentami do otrzymania refundacji są m.in. </w:t>
      </w:r>
      <w:r w:rsidR="00A17253" w:rsidRPr="003A7200">
        <w:rPr>
          <w:rFonts w:ascii="Open Sans" w:eastAsia="Times New Roman" w:hAnsi="Open Sans" w:cs="Open Sans"/>
        </w:rPr>
        <w:t xml:space="preserve">umowa MŚP z podmiotem świadczącym usługi rozwojowe, faktura za usługę rozwojową, wyciąg bankowy potwierdzający opłacenie faktury, oświadczenie dotyczące kwalifikowalności podatku VAT. </w:t>
      </w:r>
      <w:r w:rsidR="00D062A2" w:rsidRPr="003A7200">
        <w:rPr>
          <w:rFonts w:ascii="Open Sans" w:eastAsia="Times New Roman" w:hAnsi="Open Sans" w:cs="Open Sans"/>
        </w:rPr>
        <w:t xml:space="preserve">To na </w:t>
      </w:r>
      <w:r w:rsidR="0008346B">
        <w:rPr>
          <w:rFonts w:ascii="Open Sans" w:eastAsia="Times New Roman" w:hAnsi="Open Sans" w:cs="Open Sans"/>
        </w:rPr>
        <w:t>o</w:t>
      </w:r>
      <w:r w:rsidR="00D062A2" w:rsidRPr="003A7200">
        <w:rPr>
          <w:rFonts w:ascii="Open Sans" w:eastAsia="Times New Roman" w:hAnsi="Open Sans" w:cs="Open Sans"/>
        </w:rPr>
        <w:t xml:space="preserve">peratorze spoczywa obowiązek weryfikacji otrzymanych od MŚP dokumentów rozliczających usługę rozwojową. Ponadto </w:t>
      </w:r>
      <w:r w:rsidR="0008346B">
        <w:rPr>
          <w:rFonts w:ascii="Open Sans" w:eastAsia="Times New Roman" w:hAnsi="Open Sans" w:cs="Open Sans"/>
        </w:rPr>
        <w:t>w</w:t>
      </w:r>
      <w:r w:rsidR="00D062A2" w:rsidRPr="003A7200">
        <w:rPr>
          <w:rFonts w:ascii="Open Sans" w:eastAsia="Times New Roman" w:hAnsi="Open Sans" w:cs="Open Sans"/>
        </w:rPr>
        <w:t>nioskodawca/</w:t>
      </w:r>
      <w:r w:rsidR="0008346B">
        <w:rPr>
          <w:rFonts w:ascii="Open Sans" w:eastAsia="Times New Roman" w:hAnsi="Open Sans" w:cs="Open Sans"/>
        </w:rPr>
        <w:t>o</w:t>
      </w:r>
      <w:r w:rsidR="00D062A2" w:rsidRPr="003A7200">
        <w:rPr>
          <w:rFonts w:ascii="Open Sans" w:eastAsia="Times New Roman" w:hAnsi="Open Sans" w:cs="Open Sans"/>
        </w:rPr>
        <w:t>perator</w:t>
      </w:r>
      <w:r w:rsidR="0008346B">
        <w:rPr>
          <w:rFonts w:ascii="Open Sans" w:eastAsia="Times New Roman" w:hAnsi="Open Sans" w:cs="Open Sans"/>
        </w:rPr>
        <w:t>,</w:t>
      </w:r>
      <w:r w:rsidR="00D062A2" w:rsidRPr="003A7200">
        <w:rPr>
          <w:rFonts w:ascii="Open Sans" w:eastAsia="Times New Roman" w:hAnsi="Open Sans" w:cs="Open Sans"/>
        </w:rPr>
        <w:t xml:space="preserve"> zgodnie ze wzorem umowy</w:t>
      </w:r>
      <w:r w:rsidR="00EF0038" w:rsidRPr="003A7200">
        <w:rPr>
          <w:rFonts w:ascii="Open Sans" w:eastAsia="Times New Roman" w:hAnsi="Open Sans" w:cs="Open Sans"/>
        </w:rPr>
        <w:t xml:space="preserve"> o dofinansowanie projektu</w:t>
      </w:r>
      <w:r w:rsidR="0008346B">
        <w:rPr>
          <w:rFonts w:ascii="Open Sans" w:eastAsia="Times New Roman" w:hAnsi="Open Sans" w:cs="Open Sans"/>
        </w:rPr>
        <w:t>,</w:t>
      </w:r>
      <w:r w:rsidR="00D062A2" w:rsidRPr="003A7200">
        <w:rPr>
          <w:rFonts w:ascii="Open Sans" w:eastAsia="Times New Roman" w:hAnsi="Open Sans" w:cs="Open Sans"/>
        </w:rPr>
        <w:t xml:space="preserve">  jest zobowiązany do przedstawienia</w:t>
      </w:r>
      <w:r w:rsidR="00EF0038" w:rsidRPr="003A7200">
        <w:rPr>
          <w:rFonts w:ascii="Open Sans" w:eastAsia="Times New Roman" w:hAnsi="Open Sans" w:cs="Open Sans"/>
        </w:rPr>
        <w:t xml:space="preserve"> IZ</w:t>
      </w:r>
      <w:r w:rsidR="00D062A2" w:rsidRPr="003A7200">
        <w:rPr>
          <w:rFonts w:ascii="Open Sans" w:eastAsia="Times New Roman" w:hAnsi="Open Sans" w:cs="Open Sans"/>
        </w:rPr>
        <w:t xml:space="preserve"> dokumentów związanych z osiągnięciem wskaźników.</w:t>
      </w:r>
    </w:p>
    <w:p w14:paraId="5C8C5765" w14:textId="6C037B87" w:rsidR="00440C2E" w:rsidRPr="003A7200" w:rsidRDefault="00440C2E" w:rsidP="003A7200">
      <w:pPr>
        <w:spacing w:line="360" w:lineRule="auto"/>
        <w:jc w:val="both"/>
        <w:rPr>
          <w:rFonts w:ascii="Open Sans" w:eastAsia="Times New Roman" w:hAnsi="Open Sans" w:cs="Open Sans"/>
        </w:rPr>
      </w:pPr>
      <w:r w:rsidRPr="003A7200">
        <w:rPr>
          <w:rFonts w:ascii="Open Sans" w:eastAsia="Times New Roman" w:hAnsi="Open Sans" w:cs="Open Sans"/>
        </w:rPr>
        <w:lastRenderedPageBreak/>
        <w:t>Usługodawcy (firmy szkoleniowe) mogą być z całej Polski. Z doświadczenia Instytucji Organizującej Nabór wynika, że podpisanie umowy pomiędzy MŚP a firmą szkoleniową nigdy nie stanowiło problemu, niezależnie od tego</w:t>
      </w:r>
      <w:r w:rsidR="0008346B">
        <w:rPr>
          <w:rFonts w:ascii="Open Sans" w:eastAsia="Times New Roman" w:hAnsi="Open Sans" w:cs="Open Sans"/>
        </w:rPr>
        <w:t>,</w:t>
      </w:r>
      <w:r w:rsidRPr="003A7200">
        <w:rPr>
          <w:rFonts w:ascii="Open Sans" w:eastAsia="Times New Roman" w:hAnsi="Open Sans" w:cs="Open Sans"/>
        </w:rPr>
        <w:t xml:space="preserve"> gdzie była siedziba firmy szkoleniowej.</w:t>
      </w:r>
    </w:p>
    <w:p w14:paraId="36081B95" w14:textId="7017019C" w:rsidR="0068735E" w:rsidRPr="003A7200" w:rsidRDefault="0068735E" w:rsidP="003A7200">
      <w:pPr>
        <w:spacing w:line="360" w:lineRule="auto"/>
        <w:jc w:val="both"/>
        <w:rPr>
          <w:rFonts w:ascii="Open Sans" w:hAnsi="Open Sans" w:cs="Open Sans"/>
        </w:rPr>
      </w:pPr>
    </w:p>
    <w:p w14:paraId="23BA28FC" w14:textId="77777777" w:rsidR="003A7200" w:rsidRPr="003A7200" w:rsidRDefault="003A4C27" w:rsidP="003A7200">
      <w:pPr>
        <w:spacing w:line="360" w:lineRule="auto"/>
        <w:jc w:val="both"/>
        <w:rPr>
          <w:rFonts w:ascii="Open Sans" w:hAnsi="Open Sans" w:cs="Open Sans"/>
          <w:b/>
          <w:bCs/>
        </w:rPr>
      </w:pPr>
      <w:r w:rsidRPr="003A7200">
        <w:rPr>
          <w:rFonts w:ascii="Open Sans" w:hAnsi="Open Sans" w:cs="Open Sans"/>
          <w:b/>
          <w:bCs/>
        </w:rPr>
        <w:t>Pytanie 3:</w:t>
      </w:r>
    </w:p>
    <w:p w14:paraId="7F88E779" w14:textId="3FDFEABF" w:rsidR="003A7200" w:rsidRPr="003A7200" w:rsidRDefault="003A7200" w:rsidP="003A7200">
      <w:pPr>
        <w:spacing w:line="360" w:lineRule="auto"/>
        <w:jc w:val="both"/>
        <w:rPr>
          <w:rFonts w:ascii="Open Sans" w:hAnsi="Open Sans" w:cs="Open Sans"/>
          <w:bCs/>
        </w:rPr>
      </w:pPr>
      <w:r w:rsidRPr="003A7200">
        <w:rPr>
          <w:rFonts w:ascii="Open Sans" w:hAnsi="Open Sans" w:cs="Open Sans"/>
          <w:bCs/>
        </w:rPr>
        <w:t>Proszę o doprecyzowanie momentu pomiaru wskaźników produktu  nr 1</w:t>
      </w:r>
      <w:r w:rsidR="0008346B">
        <w:rPr>
          <w:rFonts w:ascii="Open Sans" w:hAnsi="Open Sans" w:cs="Open Sans"/>
          <w:bCs/>
        </w:rPr>
        <w:t>–</w:t>
      </w:r>
      <w:r w:rsidRPr="003A7200">
        <w:rPr>
          <w:rFonts w:ascii="Open Sans" w:hAnsi="Open Sans" w:cs="Open Sans"/>
          <w:bCs/>
        </w:rPr>
        <w:t>5 (Regulamin konkursu str. 25</w:t>
      </w:r>
      <w:r w:rsidR="0008346B">
        <w:rPr>
          <w:rFonts w:ascii="Open Sans" w:hAnsi="Open Sans" w:cs="Open Sans"/>
          <w:bCs/>
        </w:rPr>
        <w:t>–</w:t>
      </w:r>
      <w:r w:rsidRPr="003A7200">
        <w:rPr>
          <w:rFonts w:ascii="Open Sans" w:hAnsi="Open Sans" w:cs="Open Sans"/>
          <w:bCs/>
        </w:rPr>
        <w:t>29). W regulaminie konkursu wskazano:</w:t>
      </w:r>
    </w:p>
    <w:p w14:paraId="4224FDE0" w14:textId="2B1DCF3B" w:rsidR="003A7200" w:rsidRPr="003A7200" w:rsidRDefault="003A7200" w:rsidP="003A7200">
      <w:pPr>
        <w:spacing w:line="360" w:lineRule="auto"/>
        <w:jc w:val="both"/>
        <w:rPr>
          <w:rFonts w:ascii="Open Sans" w:hAnsi="Open Sans" w:cs="Open Sans"/>
          <w:bCs/>
        </w:rPr>
      </w:pPr>
      <w:r w:rsidRPr="003A7200">
        <w:rPr>
          <w:rFonts w:ascii="Open Sans" w:hAnsi="Open Sans" w:cs="Open Sans"/>
          <w:bCs/>
        </w:rPr>
        <w:t xml:space="preserve">„Wskaźnik produktu monitorowany jest w momencie rozpoczęcia udziału w projekcie (momentem rozpoczęcia udziału w projekcie dla MŚP będzie data podpisania umowy wsparcia pomiędzy MŚP a </w:t>
      </w:r>
      <w:r w:rsidR="0008346B">
        <w:rPr>
          <w:rFonts w:ascii="Open Sans" w:hAnsi="Open Sans" w:cs="Open Sans"/>
          <w:bCs/>
        </w:rPr>
        <w:t>o</w:t>
      </w:r>
      <w:r w:rsidRPr="003A7200">
        <w:rPr>
          <w:rFonts w:ascii="Open Sans" w:hAnsi="Open Sans" w:cs="Open Sans"/>
          <w:bCs/>
        </w:rPr>
        <w:t>peratorem). Danych wykazanych w tym wskaźniku produktu nie należy aktualizować w przypadku powrotu MŚP do projektu. W przypadku, gdy MŚP korzysta z kilku usług rozwojowych w ramach projektu, do pomiaru wskaźnika jest wliczane tylko raz w momencie skorzystania z pierwszej usługi rozwojowej”.</w:t>
      </w:r>
    </w:p>
    <w:p w14:paraId="202C4A07" w14:textId="681A6EEB" w:rsidR="003A7200" w:rsidRPr="003A7200" w:rsidRDefault="003A7200" w:rsidP="003A7200">
      <w:pPr>
        <w:spacing w:line="360" w:lineRule="auto"/>
        <w:jc w:val="both"/>
        <w:rPr>
          <w:rFonts w:ascii="Open Sans" w:hAnsi="Open Sans" w:cs="Open Sans"/>
          <w:bCs/>
        </w:rPr>
      </w:pPr>
      <w:r w:rsidRPr="003A7200">
        <w:rPr>
          <w:rFonts w:ascii="Open Sans" w:hAnsi="Open Sans" w:cs="Open Sans"/>
          <w:bCs/>
        </w:rPr>
        <w:t>Daty podpisania umowy wsparcia i data skorzystania z pierwszej usługi rozwojowej</w:t>
      </w:r>
      <w:r w:rsidR="0008346B">
        <w:rPr>
          <w:rFonts w:ascii="Open Sans" w:hAnsi="Open Sans" w:cs="Open Sans"/>
          <w:bCs/>
        </w:rPr>
        <w:t>,</w:t>
      </w:r>
      <w:r w:rsidRPr="003A7200">
        <w:rPr>
          <w:rFonts w:ascii="Open Sans" w:hAnsi="Open Sans" w:cs="Open Sans"/>
          <w:bCs/>
        </w:rPr>
        <w:t xml:space="preserve"> co do zasady</w:t>
      </w:r>
      <w:r w:rsidR="0008346B">
        <w:rPr>
          <w:rFonts w:ascii="Open Sans" w:hAnsi="Open Sans" w:cs="Open Sans"/>
          <w:bCs/>
        </w:rPr>
        <w:t>,</w:t>
      </w:r>
      <w:r w:rsidRPr="003A7200">
        <w:rPr>
          <w:rFonts w:ascii="Open Sans" w:hAnsi="Open Sans" w:cs="Open Sans"/>
          <w:bCs/>
        </w:rPr>
        <w:t xml:space="preserve"> nie są tożsame. W związku z tym zwracam się z prośbą o wskazanie, do której daty należy się odnosić</w:t>
      </w:r>
      <w:r w:rsidR="0008346B">
        <w:rPr>
          <w:rFonts w:ascii="Open Sans" w:hAnsi="Open Sans" w:cs="Open Sans"/>
          <w:bCs/>
        </w:rPr>
        <w:t>,</w:t>
      </w:r>
      <w:r w:rsidRPr="003A7200">
        <w:rPr>
          <w:rFonts w:ascii="Open Sans" w:hAnsi="Open Sans" w:cs="Open Sans"/>
          <w:bCs/>
        </w:rPr>
        <w:t xml:space="preserve"> monitorując wskaźnik?</w:t>
      </w:r>
    </w:p>
    <w:p w14:paraId="5E20A53D" w14:textId="77777777" w:rsidR="003A7200" w:rsidRPr="003A7200" w:rsidRDefault="003A7200" w:rsidP="003A7200">
      <w:pPr>
        <w:spacing w:line="360" w:lineRule="auto"/>
        <w:jc w:val="both"/>
        <w:rPr>
          <w:rFonts w:ascii="Open Sans" w:hAnsi="Open Sans" w:cs="Open Sans"/>
          <w:b/>
          <w:bCs/>
        </w:rPr>
      </w:pPr>
      <w:r w:rsidRPr="003A7200">
        <w:rPr>
          <w:rFonts w:ascii="Open Sans" w:hAnsi="Open Sans" w:cs="Open Sans"/>
          <w:b/>
          <w:bCs/>
        </w:rPr>
        <w:t>Odpowiedź:</w:t>
      </w:r>
    </w:p>
    <w:p w14:paraId="257005EE" w14:textId="079C32EC" w:rsidR="003A7200" w:rsidRPr="003A7200" w:rsidRDefault="003A7200" w:rsidP="003A7200">
      <w:pPr>
        <w:spacing w:line="360" w:lineRule="auto"/>
        <w:jc w:val="both"/>
        <w:rPr>
          <w:rFonts w:ascii="Open Sans" w:hAnsi="Open Sans" w:cs="Open Sans"/>
        </w:rPr>
      </w:pPr>
      <w:r w:rsidRPr="003A7200">
        <w:rPr>
          <w:rFonts w:ascii="Open Sans" w:hAnsi="Open Sans" w:cs="Open Sans"/>
        </w:rPr>
        <w:t>Momentem rozpoczęcia udziału w projekcie zarówno dla MŚP</w:t>
      </w:r>
      <w:r w:rsidR="0008346B">
        <w:rPr>
          <w:rFonts w:ascii="Open Sans" w:hAnsi="Open Sans" w:cs="Open Sans"/>
        </w:rPr>
        <w:t>,</w:t>
      </w:r>
      <w:r w:rsidRPr="003A7200">
        <w:rPr>
          <w:rFonts w:ascii="Open Sans" w:hAnsi="Open Sans" w:cs="Open Sans"/>
        </w:rPr>
        <w:t xml:space="preserve"> jak i pracownika będzie data podpisania umowy wsparcia pomiędzy MŚP a </w:t>
      </w:r>
      <w:r w:rsidR="0008346B">
        <w:rPr>
          <w:rFonts w:ascii="Open Sans" w:hAnsi="Open Sans" w:cs="Open Sans"/>
        </w:rPr>
        <w:t>o</w:t>
      </w:r>
      <w:r w:rsidRPr="003A7200">
        <w:rPr>
          <w:rFonts w:ascii="Open Sans" w:hAnsi="Open Sans" w:cs="Open Sans"/>
        </w:rPr>
        <w:t>peratorem (czyli moment zrekrutowania uczestnika do projektu, co zgodnie z Wytycznymi dotyczącymi monitorowania postępu rzeczowego realizacji programów na lata 2021</w:t>
      </w:r>
      <w:r w:rsidR="0008346B">
        <w:rPr>
          <w:rFonts w:ascii="Open Sans" w:hAnsi="Open Sans" w:cs="Open Sans"/>
        </w:rPr>
        <w:t>–</w:t>
      </w:r>
      <w:r w:rsidRPr="003A7200">
        <w:rPr>
          <w:rFonts w:ascii="Open Sans" w:hAnsi="Open Sans" w:cs="Open Sans"/>
        </w:rPr>
        <w:t>2027 z 12 października 2022 r., sekcja 3.3.3, pkt 1 jest jedną z możliwości definiowania rozpoczęcia udziału w projekcie). Jednak w przypadku wskaźników produktu odnoszących się do pracowników/osób datą rozpoczęcia udziału w projekcie może być również data rozpoczęcia udziału w pierwszej formie wsparcia w projekcie.</w:t>
      </w:r>
      <w:r w:rsidR="006F170D">
        <w:rPr>
          <w:rFonts w:ascii="Open Sans" w:hAnsi="Open Sans" w:cs="Open Sans"/>
        </w:rPr>
        <w:t xml:space="preserve"> </w:t>
      </w:r>
    </w:p>
    <w:p w14:paraId="1CFEF60E" w14:textId="77777777" w:rsidR="00CB6BCB" w:rsidRPr="003A7200" w:rsidRDefault="00CB6BCB" w:rsidP="003A7200">
      <w:pPr>
        <w:spacing w:line="360" w:lineRule="auto"/>
        <w:jc w:val="both"/>
        <w:rPr>
          <w:rFonts w:ascii="Open Sans" w:hAnsi="Open Sans" w:cs="Open Sans"/>
          <w:b/>
          <w:bCs/>
          <w:u w:val="single"/>
        </w:rPr>
      </w:pPr>
    </w:p>
    <w:p w14:paraId="257F6BBD" w14:textId="63404883" w:rsidR="003A4C27" w:rsidRPr="003A7200" w:rsidRDefault="0068735E" w:rsidP="003A7200">
      <w:pPr>
        <w:spacing w:line="360" w:lineRule="auto"/>
        <w:jc w:val="both"/>
        <w:rPr>
          <w:rFonts w:ascii="Open Sans" w:hAnsi="Open Sans" w:cs="Open Sans"/>
        </w:rPr>
      </w:pPr>
      <w:r w:rsidRPr="003A7200">
        <w:rPr>
          <w:rFonts w:ascii="Open Sans" w:hAnsi="Open Sans" w:cs="Open Sans"/>
          <w:b/>
          <w:bCs/>
        </w:rPr>
        <w:t xml:space="preserve">Pytanie </w:t>
      </w:r>
      <w:r w:rsidR="003A4C27" w:rsidRPr="003A7200">
        <w:rPr>
          <w:rFonts w:ascii="Open Sans" w:hAnsi="Open Sans" w:cs="Open Sans"/>
          <w:b/>
          <w:bCs/>
        </w:rPr>
        <w:t>4</w:t>
      </w:r>
      <w:r w:rsidRPr="003A7200">
        <w:rPr>
          <w:rFonts w:ascii="Open Sans" w:hAnsi="Open Sans" w:cs="Open Sans"/>
          <w:b/>
          <w:bCs/>
        </w:rPr>
        <w:t>:</w:t>
      </w:r>
    </w:p>
    <w:p w14:paraId="2F816F3A" w14:textId="53A007A5" w:rsidR="003A7200" w:rsidRPr="003A7200" w:rsidRDefault="003A7200" w:rsidP="003A7200">
      <w:pPr>
        <w:spacing w:line="360" w:lineRule="auto"/>
        <w:jc w:val="both"/>
        <w:rPr>
          <w:rFonts w:ascii="Open Sans" w:hAnsi="Open Sans" w:cs="Open Sans"/>
          <w:bCs/>
        </w:rPr>
      </w:pPr>
      <w:r w:rsidRPr="003A7200">
        <w:rPr>
          <w:rFonts w:ascii="Open Sans" w:hAnsi="Open Sans" w:cs="Open Sans"/>
          <w:bCs/>
        </w:rPr>
        <w:lastRenderedPageBreak/>
        <w:t xml:space="preserve">W zał. </w:t>
      </w:r>
      <w:r w:rsidR="001C5299">
        <w:rPr>
          <w:rFonts w:ascii="Open Sans" w:hAnsi="Open Sans" w:cs="Open Sans"/>
          <w:bCs/>
        </w:rPr>
        <w:t>n</w:t>
      </w:r>
      <w:r w:rsidRPr="003A7200">
        <w:rPr>
          <w:rFonts w:ascii="Open Sans" w:hAnsi="Open Sans" w:cs="Open Sans"/>
          <w:bCs/>
        </w:rPr>
        <w:t xml:space="preserve">r 6 do Regulaminu wskazano maksymalną kwotę wsparcia dla 1 MŚP </w:t>
      </w:r>
      <w:r w:rsidR="001C5299">
        <w:rPr>
          <w:rFonts w:ascii="Open Sans" w:hAnsi="Open Sans" w:cs="Open Sans"/>
          <w:bCs/>
        </w:rPr>
        <w:t>–</w:t>
      </w:r>
      <w:r w:rsidRPr="003A7200">
        <w:rPr>
          <w:rFonts w:ascii="Open Sans" w:hAnsi="Open Sans" w:cs="Open Sans"/>
          <w:bCs/>
        </w:rPr>
        <w:t xml:space="preserve"> 48 000 PLN i na 1 pracownika średnio 16 000 PLN – zwracam się z pytaniem</w:t>
      </w:r>
      <w:r w:rsidR="001C5299">
        <w:rPr>
          <w:rFonts w:ascii="Open Sans" w:hAnsi="Open Sans" w:cs="Open Sans"/>
          <w:bCs/>
        </w:rPr>
        <w:t>,</w:t>
      </w:r>
      <w:r w:rsidRPr="003A7200">
        <w:rPr>
          <w:rFonts w:ascii="Open Sans" w:hAnsi="Open Sans" w:cs="Open Sans"/>
          <w:bCs/>
        </w:rPr>
        <w:t xml:space="preserve"> jak należy rozumieć maksymalną kwotę wsparcia? Czy jest to kwota dofinansowania usługi rozwojowej, czy kwota ta obejmuje także wkład własny w ramach usługi rozwojowej ?</w:t>
      </w:r>
    </w:p>
    <w:p w14:paraId="1394DA17" w14:textId="77777777" w:rsidR="003A7200" w:rsidRPr="003A7200" w:rsidRDefault="003A7200" w:rsidP="003A7200">
      <w:pPr>
        <w:spacing w:line="360" w:lineRule="auto"/>
        <w:jc w:val="both"/>
        <w:rPr>
          <w:rFonts w:ascii="Open Sans" w:hAnsi="Open Sans" w:cs="Open Sans"/>
          <w:b/>
          <w:bCs/>
        </w:rPr>
      </w:pPr>
      <w:r w:rsidRPr="003A7200">
        <w:rPr>
          <w:rFonts w:ascii="Open Sans" w:hAnsi="Open Sans" w:cs="Open Sans"/>
          <w:b/>
          <w:bCs/>
        </w:rPr>
        <w:t>Odpowiedź:</w:t>
      </w:r>
    </w:p>
    <w:p w14:paraId="507F6BE9" w14:textId="77777777" w:rsidR="003A7200" w:rsidRPr="003A7200" w:rsidRDefault="003A7200" w:rsidP="003A7200">
      <w:pPr>
        <w:spacing w:line="360" w:lineRule="auto"/>
        <w:jc w:val="both"/>
        <w:rPr>
          <w:rFonts w:ascii="Open Sans" w:hAnsi="Open Sans" w:cs="Open Sans"/>
        </w:rPr>
      </w:pPr>
      <w:r w:rsidRPr="003A7200">
        <w:rPr>
          <w:rFonts w:ascii="Open Sans" w:hAnsi="Open Sans" w:cs="Open Sans"/>
        </w:rPr>
        <w:t xml:space="preserve">Określona w </w:t>
      </w:r>
      <w:r w:rsidRPr="003A7200">
        <w:rPr>
          <w:rFonts w:ascii="Open Sans" w:eastAsia="Times New Roman" w:hAnsi="Open Sans" w:cs="Open Sans"/>
          <w:bCs/>
        </w:rPr>
        <w:t>Załączniku nr 6 do Regulaminu wyboru projektów</w:t>
      </w:r>
      <w:r w:rsidRPr="003A7200">
        <w:rPr>
          <w:rFonts w:ascii="Open Sans" w:hAnsi="Open Sans" w:cs="Open Sans"/>
        </w:rPr>
        <w:t xml:space="preserve"> maksymalna kwota wsparcia dla jednego MŚP 48 000 PLN, a w przeliczeniu na 1 pracownika </w:t>
      </w:r>
      <w:r w:rsidRPr="003A7200">
        <w:rPr>
          <w:rFonts w:ascii="Open Sans" w:hAnsi="Open Sans" w:cs="Open Sans"/>
          <w:u w:val="single"/>
        </w:rPr>
        <w:t>średnio</w:t>
      </w:r>
      <w:r w:rsidRPr="003A7200">
        <w:rPr>
          <w:rFonts w:ascii="Open Sans" w:hAnsi="Open Sans" w:cs="Open Sans"/>
        </w:rPr>
        <w:t xml:space="preserve"> 16 000 PLN uwzględnia wyłącznie kwotę dofinansowania usługi rozwojowej i nie obejmuje wkładu własnego.</w:t>
      </w:r>
    </w:p>
    <w:p w14:paraId="435BB564" w14:textId="3D52151E" w:rsidR="003A7200" w:rsidRPr="003A7200" w:rsidRDefault="003A7200" w:rsidP="003A7200">
      <w:pPr>
        <w:spacing w:line="360" w:lineRule="auto"/>
        <w:jc w:val="both"/>
        <w:rPr>
          <w:rFonts w:ascii="Open Sans" w:hAnsi="Open Sans" w:cs="Open Sans"/>
        </w:rPr>
      </w:pPr>
      <w:r w:rsidRPr="003A7200">
        <w:rPr>
          <w:rFonts w:ascii="Open Sans" w:hAnsi="Open Sans" w:cs="Open Sans"/>
        </w:rPr>
        <w:t xml:space="preserve">Ponadto, należy podkreślić, że wskazana w Załączniku nr 6 do Regulaminu wyboru projektów kwota 16 000 PLN to tylko dana statystyczna wyliczona </w:t>
      </w:r>
      <w:r w:rsidRPr="003A7200">
        <w:rPr>
          <w:rFonts w:ascii="Open Sans" w:hAnsi="Open Sans" w:cs="Open Sans"/>
          <w:u w:val="single"/>
        </w:rPr>
        <w:t>średnio</w:t>
      </w:r>
      <w:r w:rsidRPr="003A7200">
        <w:rPr>
          <w:rFonts w:ascii="Open Sans" w:hAnsi="Open Sans" w:cs="Open Sans"/>
        </w:rPr>
        <w:t xml:space="preserve"> na jednego pracownika. Ma charakter orientacyjny i pomocniczy</w:t>
      </w:r>
      <w:r w:rsidR="001C5299">
        <w:rPr>
          <w:rFonts w:ascii="Open Sans" w:hAnsi="Open Sans" w:cs="Open Sans"/>
        </w:rPr>
        <w:t>,</w:t>
      </w:r>
      <w:r w:rsidRPr="003A7200">
        <w:rPr>
          <w:rFonts w:ascii="Open Sans" w:hAnsi="Open Sans" w:cs="Open Sans"/>
        </w:rPr>
        <w:t xml:space="preserve"> o czym świadczy określenie tej kwoty „średnio”.</w:t>
      </w:r>
    </w:p>
    <w:p w14:paraId="304A9ED0" w14:textId="550A6655" w:rsidR="003A7200" w:rsidRPr="003A7200" w:rsidRDefault="003A7200" w:rsidP="003A7200">
      <w:pPr>
        <w:spacing w:line="360" w:lineRule="auto"/>
        <w:jc w:val="both"/>
        <w:rPr>
          <w:rFonts w:ascii="Open Sans" w:hAnsi="Open Sans" w:cs="Open Sans"/>
        </w:rPr>
      </w:pPr>
      <w:r w:rsidRPr="003A7200">
        <w:rPr>
          <w:rFonts w:ascii="Open Sans" w:hAnsi="Open Sans" w:cs="Open Sans"/>
        </w:rPr>
        <w:t>Wnioskodawca (</w:t>
      </w:r>
      <w:r w:rsidR="001C5299">
        <w:rPr>
          <w:rFonts w:ascii="Open Sans" w:hAnsi="Open Sans" w:cs="Open Sans"/>
        </w:rPr>
        <w:t>o</w:t>
      </w:r>
      <w:r w:rsidRPr="003A7200">
        <w:rPr>
          <w:rFonts w:ascii="Open Sans" w:hAnsi="Open Sans" w:cs="Open Sans"/>
        </w:rPr>
        <w:t>perator) będzie zobowiązany do zweryfikowania</w:t>
      </w:r>
      <w:r w:rsidR="001C5299">
        <w:rPr>
          <w:rFonts w:ascii="Open Sans" w:hAnsi="Open Sans" w:cs="Open Sans"/>
        </w:rPr>
        <w:t xml:space="preserve">, </w:t>
      </w:r>
      <w:r w:rsidRPr="003A7200">
        <w:rPr>
          <w:rFonts w:ascii="Open Sans" w:hAnsi="Open Sans" w:cs="Open Sans"/>
        </w:rPr>
        <w:t xml:space="preserve">czy kwota dofinansowania dla jednego MŚP nie przekroczy 48 000 PLN na cały okres programowy </w:t>
      </w:r>
      <w:proofErr w:type="spellStart"/>
      <w:r w:rsidRPr="003A7200">
        <w:rPr>
          <w:rFonts w:ascii="Open Sans" w:hAnsi="Open Sans" w:cs="Open Sans"/>
        </w:rPr>
        <w:t>FEWiM</w:t>
      </w:r>
      <w:proofErr w:type="spellEnd"/>
      <w:r w:rsidRPr="003A7200">
        <w:rPr>
          <w:rFonts w:ascii="Open Sans" w:hAnsi="Open Sans" w:cs="Open Sans"/>
        </w:rPr>
        <w:t xml:space="preserve"> 2021</w:t>
      </w:r>
      <w:r w:rsidR="001C5299">
        <w:rPr>
          <w:rFonts w:ascii="Open Sans" w:hAnsi="Open Sans" w:cs="Open Sans"/>
        </w:rPr>
        <w:t>–</w:t>
      </w:r>
      <w:r w:rsidRPr="003A7200">
        <w:rPr>
          <w:rFonts w:ascii="Open Sans" w:hAnsi="Open Sans" w:cs="Open Sans"/>
        </w:rPr>
        <w:t xml:space="preserve">2027 u wszystkich </w:t>
      </w:r>
      <w:r w:rsidR="001C5299">
        <w:rPr>
          <w:rFonts w:ascii="Open Sans" w:hAnsi="Open Sans" w:cs="Open Sans"/>
        </w:rPr>
        <w:t>o</w:t>
      </w:r>
      <w:r w:rsidRPr="003A7200">
        <w:rPr>
          <w:rFonts w:ascii="Open Sans" w:hAnsi="Open Sans" w:cs="Open Sans"/>
        </w:rPr>
        <w:t>peratorów łącznie. Oznacza to, że przykładowo, w firmie jednoosobowej cała kwota 48 000 PLN może zostać wykorzystana przez jedną osobę.</w:t>
      </w:r>
    </w:p>
    <w:p w14:paraId="5E1CD601" w14:textId="134AD416" w:rsidR="003A7200" w:rsidRPr="003A7200" w:rsidRDefault="003A7200" w:rsidP="003A7200">
      <w:pPr>
        <w:spacing w:line="360" w:lineRule="auto"/>
        <w:jc w:val="both"/>
        <w:rPr>
          <w:rFonts w:ascii="Open Sans" w:hAnsi="Open Sans" w:cs="Open Sans"/>
        </w:rPr>
      </w:pPr>
    </w:p>
    <w:p w14:paraId="511CB28E" w14:textId="5ED90C09" w:rsidR="003A7200" w:rsidRPr="003A7200" w:rsidRDefault="003A7200" w:rsidP="003A7200">
      <w:pPr>
        <w:spacing w:line="360" w:lineRule="auto"/>
        <w:jc w:val="both"/>
        <w:rPr>
          <w:rFonts w:ascii="Open Sans" w:hAnsi="Open Sans" w:cs="Open Sans"/>
          <w:b/>
          <w:bCs/>
        </w:rPr>
      </w:pPr>
      <w:r w:rsidRPr="003A7200">
        <w:rPr>
          <w:rFonts w:ascii="Open Sans" w:hAnsi="Open Sans" w:cs="Open Sans"/>
          <w:b/>
          <w:bCs/>
        </w:rPr>
        <w:t>Pytanie 5:</w:t>
      </w:r>
    </w:p>
    <w:p w14:paraId="54FAE174" w14:textId="77777777" w:rsidR="003A7200" w:rsidRPr="003A7200" w:rsidRDefault="003A7200" w:rsidP="003A7200">
      <w:pPr>
        <w:spacing w:line="360" w:lineRule="auto"/>
        <w:jc w:val="both"/>
        <w:rPr>
          <w:rFonts w:ascii="Open Sans" w:hAnsi="Open Sans" w:cs="Open Sans"/>
        </w:rPr>
      </w:pPr>
      <w:r w:rsidRPr="003A7200">
        <w:rPr>
          <w:rFonts w:ascii="Open Sans" w:hAnsi="Open Sans" w:cs="Open Sans"/>
        </w:rPr>
        <w:t>Zwracam się z prośbą o doprecyzowanie pierwszej części kryterium specyficzne dostępu „Wnioskodawca łącznie z partnerem (o ile dotyczy) na dzień złożenia wniosku o dofinansowanie projektu posiada doświadczenie w zarządzaniu i realizacji projektów na rzecz MŚP i ich pracowników, w których:</w:t>
      </w:r>
    </w:p>
    <w:p w14:paraId="37A80040" w14:textId="0B04B14F" w:rsidR="003A7200" w:rsidRPr="003A7200" w:rsidRDefault="003A7200" w:rsidP="003A7200">
      <w:pPr>
        <w:spacing w:line="360" w:lineRule="auto"/>
        <w:jc w:val="both"/>
        <w:rPr>
          <w:rFonts w:ascii="Open Sans" w:hAnsi="Open Sans" w:cs="Open Sans"/>
        </w:rPr>
      </w:pPr>
      <w:r w:rsidRPr="003A7200">
        <w:rPr>
          <w:rFonts w:ascii="Open Sans" w:hAnsi="Open Sans" w:cs="Open Sans"/>
        </w:rPr>
        <w:t>- wsparciem objęto łącznie minimum 1600 osób w okresie ostatnich 5 lat</w:t>
      </w:r>
      <w:r w:rsidR="001C5299">
        <w:rPr>
          <w:rFonts w:ascii="Open Sans" w:hAnsi="Open Sans" w:cs="Open Sans"/>
        </w:rPr>
        <w:t>,</w:t>
      </w:r>
    </w:p>
    <w:p w14:paraId="431E5A50" w14:textId="4FE06A2D" w:rsidR="003A7200" w:rsidRPr="003A7200" w:rsidRDefault="003A7200" w:rsidP="003A7200">
      <w:pPr>
        <w:spacing w:line="360" w:lineRule="auto"/>
        <w:jc w:val="both"/>
        <w:rPr>
          <w:rFonts w:ascii="Open Sans" w:hAnsi="Open Sans" w:cs="Open Sans"/>
        </w:rPr>
      </w:pPr>
      <w:r w:rsidRPr="003A7200">
        <w:rPr>
          <w:rFonts w:ascii="Open Sans" w:hAnsi="Open Sans" w:cs="Open Sans"/>
        </w:rPr>
        <w:t xml:space="preserve">- udzielono pomocy publicznej/ de </w:t>
      </w:r>
      <w:proofErr w:type="spellStart"/>
      <w:r w:rsidRPr="003A7200">
        <w:rPr>
          <w:rFonts w:ascii="Open Sans" w:hAnsi="Open Sans" w:cs="Open Sans"/>
        </w:rPr>
        <w:t>minimis</w:t>
      </w:r>
      <w:proofErr w:type="spellEnd"/>
      <w:r w:rsidRPr="003A7200">
        <w:rPr>
          <w:rFonts w:ascii="Open Sans" w:hAnsi="Open Sans" w:cs="Open Sans"/>
        </w:rPr>
        <w:t xml:space="preserve"> dla minimum 600 MŚP z województwa warmińsko</w:t>
      </w:r>
      <w:r w:rsidR="001C5299">
        <w:rPr>
          <w:rFonts w:ascii="Open Sans" w:hAnsi="Open Sans" w:cs="Open Sans"/>
        </w:rPr>
        <w:t>-</w:t>
      </w:r>
      <w:r w:rsidRPr="003A7200">
        <w:rPr>
          <w:rFonts w:ascii="Open Sans" w:hAnsi="Open Sans" w:cs="Open Sans"/>
        </w:rPr>
        <w:t xml:space="preserve">mazurskiego w okresie ostatnich 5 lat oraz wartość udzielonej pomocy publicznej/de </w:t>
      </w:r>
      <w:proofErr w:type="spellStart"/>
      <w:r w:rsidRPr="003A7200">
        <w:rPr>
          <w:rFonts w:ascii="Open Sans" w:hAnsi="Open Sans" w:cs="Open Sans"/>
        </w:rPr>
        <w:t>minimis</w:t>
      </w:r>
      <w:proofErr w:type="spellEnd"/>
      <w:r w:rsidRPr="003A7200">
        <w:rPr>
          <w:rFonts w:ascii="Open Sans" w:hAnsi="Open Sans" w:cs="Open Sans"/>
        </w:rPr>
        <w:t xml:space="preserve"> ogółem wyniosła łącznie nie mniej niż 25% wartości dofinansowania zaplanowanego w ramach projektu</w:t>
      </w:r>
      <w:r w:rsidR="001C5299">
        <w:rPr>
          <w:rFonts w:ascii="Open Sans" w:hAnsi="Open Sans" w:cs="Open Sans"/>
        </w:rPr>
        <w:t>”</w:t>
      </w:r>
      <w:r w:rsidRPr="003A7200">
        <w:rPr>
          <w:rFonts w:ascii="Open Sans" w:hAnsi="Open Sans" w:cs="Open Sans"/>
        </w:rPr>
        <w:t>.</w:t>
      </w:r>
    </w:p>
    <w:p w14:paraId="7E7B7857" w14:textId="77777777" w:rsidR="003A7200" w:rsidRPr="003A7200" w:rsidRDefault="003A7200" w:rsidP="003A7200">
      <w:pPr>
        <w:spacing w:line="360" w:lineRule="auto"/>
        <w:jc w:val="both"/>
        <w:rPr>
          <w:rFonts w:ascii="Open Sans" w:hAnsi="Open Sans" w:cs="Open Sans"/>
        </w:rPr>
      </w:pPr>
      <w:r w:rsidRPr="003A7200">
        <w:rPr>
          <w:rFonts w:ascii="Open Sans" w:hAnsi="Open Sans" w:cs="Open Sans"/>
        </w:rPr>
        <w:lastRenderedPageBreak/>
        <w:t>Czy wsparcie rozumiane jest jako doradztwo i szkolenia dla minimum 1600 pracowników podnoszące ich kompetencje i kwalifikacje?</w:t>
      </w:r>
    </w:p>
    <w:p w14:paraId="61C4942B" w14:textId="77777777" w:rsidR="003A7200" w:rsidRPr="003A7200" w:rsidRDefault="003A7200" w:rsidP="003A7200">
      <w:pPr>
        <w:spacing w:line="360" w:lineRule="auto"/>
        <w:jc w:val="both"/>
        <w:rPr>
          <w:rFonts w:ascii="Open Sans" w:hAnsi="Open Sans" w:cs="Open Sans"/>
          <w:b/>
          <w:bCs/>
        </w:rPr>
      </w:pPr>
      <w:r w:rsidRPr="003A7200">
        <w:rPr>
          <w:rFonts w:ascii="Open Sans" w:hAnsi="Open Sans" w:cs="Open Sans"/>
          <w:b/>
          <w:bCs/>
        </w:rPr>
        <w:t>Odpowiedź:</w:t>
      </w:r>
    </w:p>
    <w:p w14:paraId="4D752B7C" w14:textId="77777777" w:rsidR="003A7200" w:rsidRPr="003A7200" w:rsidRDefault="003A7200" w:rsidP="003A7200">
      <w:pPr>
        <w:spacing w:line="360" w:lineRule="auto"/>
        <w:jc w:val="both"/>
        <w:rPr>
          <w:rFonts w:ascii="Open Sans" w:hAnsi="Open Sans" w:cs="Open Sans"/>
        </w:rPr>
      </w:pPr>
      <w:r w:rsidRPr="003A7200">
        <w:rPr>
          <w:rFonts w:ascii="Open Sans" w:hAnsi="Open Sans" w:cs="Open Sans"/>
        </w:rPr>
        <w:t xml:space="preserve">Nie, w przedmiotowym kryterium forma wsparcia pracowników MŚP nie została zawężona do doradztwa i szkoleń. Jako doświadczenie w zarządzaniu i realizacji projektów na rzecz pracowników MŚP mogą zostać przedstawione informacje na temat wsparcia pracowników MŚP o innym charakterze niż doradztwo i szkolenia, pod warunkiem, że celem tego wsparcia jest rozwój MŚP z terenu województwa warmińsko-mazurskiego i zostało ono udzielone w formie pomocy publicznej/ pomocy de </w:t>
      </w:r>
      <w:proofErr w:type="spellStart"/>
      <w:r w:rsidRPr="003A7200">
        <w:rPr>
          <w:rFonts w:ascii="Open Sans" w:hAnsi="Open Sans" w:cs="Open Sans"/>
        </w:rPr>
        <w:t>minimis</w:t>
      </w:r>
      <w:proofErr w:type="spellEnd"/>
      <w:r w:rsidRPr="003A7200">
        <w:rPr>
          <w:rFonts w:ascii="Open Sans" w:hAnsi="Open Sans" w:cs="Open Sans"/>
        </w:rPr>
        <w:t xml:space="preserve"> (zgodnie z definicją kryterium specyficznego dostępu nr 1). </w:t>
      </w:r>
    </w:p>
    <w:p w14:paraId="38B6FCCD" w14:textId="77777777" w:rsidR="003A7200" w:rsidRPr="003A7200" w:rsidRDefault="003A7200" w:rsidP="003A7200">
      <w:pPr>
        <w:rPr>
          <w:rFonts w:ascii="Arial" w:hAnsi="Arial" w:cs="Arial"/>
        </w:rPr>
      </w:pPr>
    </w:p>
    <w:p w14:paraId="5D0CE602" w14:textId="466D6875" w:rsidR="0068735E" w:rsidRPr="003A7200" w:rsidRDefault="0068735E" w:rsidP="0071489B">
      <w:pPr>
        <w:rPr>
          <w:rFonts w:ascii="Arial" w:hAnsi="Arial" w:cs="Arial"/>
        </w:rPr>
      </w:pPr>
    </w:p>
    <w:sectPr w:rsidR="0068735E" w:rsidRPr="003A7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B462F"/>
    <w:multiLevelType w:val="hybridMultilevel"/>
    <w:tmpl w:val="A89296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5E"/>
    <w:rsid w:val="0003369A"/>
    <w:rsid w:val="000654DD"/>
    <w:rsid w:val="0008346B"/>
    <w:rsid w:val="000C152B"/>
    <w:rsid w:val="0010329A"/>
    <w:rsid w:val="001C5299"/>
    <w:rsid w:val="00235995"/>
    <w:rsid w:val="0030488B"/>
    <w:rsid w:val="003A4C27"/>
    <w:rsid w:val="003A7200"/>
    <w:rsid w:val="00427DFA"/>
    <w:rsid w:val="004350CD"/>
    <w:rsid w:val="00440C2E"/>
    <w:rsid w:val="00440CF9"/>
    <w:rsid w:val="00557945"/>
    <w:rsid w:val="00597926"/>
    <w:rsid w:val="005E6953"/>
    <w:rsid w:val="0068735E"/>
    <w:rsid w:val="006F170D"/>
    <w:rsid w:val="006F4317"/>
    <w:rsid w:val="0071489B"/>
    <w:rsid w:val="00727BAA"/>
    <w:rsid w:val="007E3A1A"/>
    <w:rsid w:val="009A2DE0"/>
    <w:rsid w:val="00A17253"/>
    <w:rsid w:val="00CB6BCB"/>
    <w:rsid w:val="00D062A2"/>
    <w:rsid w:val="00D81959"/>
    <w:rsid w:val="00EF0038"/>
    <w:rsid w:val="00F7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80AA"/>
  <w15:chartTrackingRefBased/>
  <w15:docId w15:val="{6451739F-7CC8-4795-B25D-60770BAA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40C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0C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0C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C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C2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A7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005C-6D34-43DE-8684-E3190B8C7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1108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Dudulewicz</dc:creator>
  <cp:keywords/>
  <dc:description/>
  <cp:lastModifiedBy>Kinga Müller</cp:lastModifiedBy>
  <cp:revision>3</cp:revision>
  <dcterms:created xsi:type="dcterms:W3CDTF">2023-07-14T10:46:00Z</dcterms:created>
  <dcterms:modified xsi:type="dcterms:W3CDTF">2023-07-14T10:56:00Z</dcterms:modified>
</cp:coreProperties>
</file>