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423D" w14:textId="77777777" w:rsidR="00737FDC" w:rsidRDefault="00737FDC" w:rsidP="00E86FE6">
      <w:pPr>
        <w:ind w:left="284" w:hanging="284"/>
      </w:pPr>
    </w:p>
    <w:p w14:paraId="370EC156" w14:textId="7FDDE43E" w:rsidR="00737FDC" w:rsidRPr="00737FDC" w:rsidRDefault="00AE2921" w:rsidP="00737FDC">
      <w:pPr>
        <w:pStyle w:val="Zwykytekst"/>
        <w:ind w:left="284"/>
        <w:jc w:val="right"/>
        <w:rPr>
          <w:rFonts w:ascii="Arial" w:hAnsi="Arial" w:cs="Arial"/>
          <w:sz w:val="24"/>
          <w:szCs w:val="24"/>
        </w:rPr>
      </w:pPr>
      <w:r w:rsidRPr="00AE2921">
        <w:rPr>
          <w:rFonts w:ascii="Arial" w:hAnsi="Arial" w:cs="Arial"/>
          <w:sz w:val="24"/>
          <w:szCs w:val="24"/>
        </w:rPr>
        <w:t>22</w:t>
      </w:r>
      <w:r w:rsidR="00737FDC" w:rsidRPr="00AE2921">
        <w:rPr>
          <w:rFonts w:ascii="Arial" w:hAnsi="Arial" w:cs="Arial"/>
          <w:sz w:val="24"/>
          <w:szCs w:val="24"/>
        </w:rPr>
        <w:t>.04.2026 r.</w:t>
      </w:r>
    </w:p>
    <w:p w14:paraId="2BF99798" w14:textId="71AA933C" w:rsidR="00737FDC" w:rsidRPr="00FD57D8" w:rsidRDefault="00737FDC" w:rsidP="00737FDC">
      <w:pPr>
        <w:autoSpaceDE w:val="0"/>
        <w:autoSpaceDN w:val="0"/>
        <w:adjustRightInd w:val="0"/>
        <w:jc w:val="center"/>
        <w:rPr>
          <w:rFonts w:cstheme="minorHAnsi"/>
          <w:sz w:val="32"/>
          <w:szCs w:val="32"/>
        </w:rPr>
      </w:pPr>
      <w:r w:rsidRPr="00FD57D8">
        <w:rPr>
          <w:rFonts w:cstheme="minorHAnsi"/>
          <w:b/>
          <w:bCs/>
          <w:sz w:val="32"/>
          <w:szCs w:val="32"/>
        </w:rPr>
        <w:t>Zestawienie pytań i odpowiedzi</w:t>
      </w:r>
      <w:r w:rsidR="00AE2921">
        <w:rPr>
          <w:rFonts w:cstheme="minorHAnsi"/>
          <w:b/>
          <w:bCs/>
          <w:sz w:val="32"/>
          <w:szCs w:val="32"/>
        </w:rPr>
        <w:t xml:space="preserve"> nr 2</w:t>
      </w:r>
    </w:p>
    <w:p w14:paraId="21397EE8" w14:textId="77777777" w:rsidR="00737FDC" w:rsidRPr="00FD57D8" w:rsidRDefault="00737FDC" w:rsidP="00737FDC">
      <w:pPr>
        <w:autoSpaceDE w:val="0"/>
        <w:autoSpaceDN w:val="0"/>
        <w:adjustRightInd w:val="0"/>
        <w:jc w:val="center"/>
        <w:rPr>
          <w:rFonts w:cstheme="minorHAnsi"/>
          <w:sz w:val="32"/>
          <w:szCs w:val="32"/>
        </w:rPr>
      </w:pPr>
      <w:r>
        <w:rPr>
          <w:rFonts w:cstheme="minorHAnsi"/>
          <w:b/>
          <w:bCs/>
          <w:sz w:val="32"/>
          <w:szCs w:val="32"/>
        </w:rPr>
        <w:t xml:space="preserve">dotyczących naboru ogłoszonego </w:t>
      </w:r>
      <w:r w:rsidRPr="00FD57D8">
        <w:rPr>
          <w:rFonts w:cstheme="minorHAnsi"/>
          <w:b/>
          <w:bCs/>
          <w:sz w:val="32"/>
          <w:szCs w:val="32"/>
        </w:rPr>
        <w:t>przez WUP w Olsztynie</w:t>
      </w:r>
    </w:p>
    <w:p w14:paraId="35C65835" w14:textId="77777777" w:rsidR="00737FDC" w:rsidRPr="00FD57D8" w:rsidRDefault="00737FDC" w:rsidP="00737FDC">
      <w:pPr>
        <w:widowControl w:val="0"/>
        <w:suppressAutoHyphens/>
        <w:jc w:val="center"/>
        <w:rPr>
          <w:rFonts w:cstheme="minorHAnsi"/>
          <w:b/>
          <w:bCs/>
          <w:sz w:val="32"/>
          <w:szCs w:val="32"/>
        </w:rPr>
      </w:pPr>
      <w:r>
        <w:rPr>
          <w:rFonts w:cstheme="minorHAnsi"/>
          <w:b/>
          <w:bCs/>
          <w:sz w:val="32"/>
          <w:szCs w:val="32"/>
        </w:rPr>
        <w:t>w Działaniu 7.2</w:t>
      </w:r>
      <w:r w:rsidRPr="00FD57D8">
        <w:rPr>
          <w:rFonts w:cstheme="minorHAnsi"/>
          <w:b/>
          <w:bCs/>
          <w:sz w:val="32"/>
          <w:szCs w:val="32"/>
        </w:rPr>
        <w:t xml:space="preserve"> </w:t>
      </w:r>
      <w:proofErr w:type="spellStart"/>
      <w:r w:rsidRPr="00FD57D8">
        <w:rPr>
          <w:rFonts w:cstheme="minorHAnsi"/>
          <w:b/>
          <w:bCs/>
          <w:sz w:val="32"/>
          <w:szCs w:val="32"/>
        </w:rPr>
        <w:t>FEWiM</w:t>
      </w:r>
      <w:proofErr w:type="spellEnd"/>
      <w:r>
        <w:rPr>
          <w:rFonts w:cstheme="minorHAnsi"/>
          <w:b/>
          <w:bCs/>
          <w:sz w:val="32"/>
          <w:szCs w:val="32"/>
        </w:rPr>
        <w:t xml:space="preserve"> 2021-2027</w:t>
      </w:r>
    </w:p>
    <w:p w14:paraId="753D2294" w14:textId="45648918" w:rsidR="00737FDC" w:rsidRDefault="00737FDC" w:rsidP="00737FDC">
      <w:pPr>
        <w:pStyle w:val="Zwykytekst"/>
        <w:rPr>
          <w:rFonts w:ascii="Arial" w:hAnsi="Arial" w:cs="Arial"/>
          <w:b/>
          <w:bCs/>
          <w:sz w:val="24"/>
          <w:szCs w:val="24"/>
        </w:rPr>
      </w:pPr>
    </w:p>
    <w:p w14:paraId="3CEC24FA" w14:textId="77777777" w:rsidR="00737FDC" w:rsidRDefault="00737FDC" w:rsidP="00737FDC">
      <w:pPr>
        <w:pStyle w:val="Zwykytekst"/>
        <w:ind w:left="284"/>
        <w:rPr>
          <w:rFonts w:ascii="Arial" w:hAnsi="Arial" w:cs="Arial"/>
          <w:b/>
          <w:bCs/>
          <w:sz w:val="24"/>
          <w:szCs w:val="24"/>
        </w:rPr>
      </w:pPr>
    </w:p>
    <w:p w14:paraId="1222D345" w14:textId="3D0A1AAC" w:rsidR="00B5703D" w:rsidRDefault="00B5703D" w:rsidP="00B5703D">
      <w:pPr>
        <w:pStyle w:val="Zwykytekst"/>
        <w:numPr>
          <w:ilvl w:val="0"/>
          <w:numId w:val="3"/>
        </w:numPr>
        <w:ind w:left="284" w:hanging="284"/>
        <w:rPr>
          <w:rFonts w:ascii="Arial" w:hAnsi="Arial" w:cs="Arial"/>
          <w:b/>
          <w:bCs/>
          <w:sz w:val="24"/>
          <w:szCs w:val="24"/>
        </w:rPr>
      </w:pPr>
      <w:r w:rsidRPr="00B5703D">
        <w:rPr>
          <w:rFonts w:ascii="Arial" w:hAnsi="Arial" w:cs="Arial"/>
          <w:b/>
          <w:bCs/>
          <w:sz w:val="24"/>
          <w:szCs w:val="24"/>
        </w:rPr>
        <w:t>Czy zapis mówiący o „obligatoryjnym zaproponowaniu uzupełnienia poziomu umiejętności cyfrowych” należy rozumieć jako obowiązek przedstawienia takiej oferty uczestnikowi i odnotowanie tego faktu w IPD, czy też jako obowiązek faktycznego skierowania i udziału uczestnika w takim szkoleniu? </w:t>
      </w:r>
    </w:p>
    <w:p w14:paraId="47AE1FA9" w14:textId="77777777" w:rsidR="00B5703D" w:rsidRPr="00B5703D" w:rsidRDefault="00B5703D" w:rsidP="00B5703D">
      <w:pPr>
        <w:pStyle w:val="Zwykytekst"/>
        <w:ind w:left="284"/>
        <w:rPr>
          <w:rFonts w:ascii="Arial" w:hAnsi="Arial" w:cs="Arial"/>
          <w:b/>
          <w:bCs/>
          <w:sz w:val="24"/>
          <w:szCs w:val="24"/>
        </w:rPr>
      </w:pPr>
    </w:p>
    <w:p w14:paraId="753F237B" w14:textId="624D1519" w:rsidR="00671625" w:rsidRPr="00B5703D" w:rsidRDefault="00671625" w:rsidP="00671625">
      <w:pPr>
        <w:rPr>
          <w:rFonts w:ascii="Arial" w:hAnsi="Arial" w:cs="Arial"/>
          <w:b/>
          <w:bCs/>
          <w:sz w:val="24"/>
          <w:szCs w:val="24"/>
        </w:rPr>
      </w:pPr>
      <w:r w:rsidRPr="00B5703D">
        <w:rPr>
          <w:rFonts w:ascii="Arial" w:hAnsi="Arial" w:cs="Arial"/>
          <w:b/>
          <w:bCs/>
          <w:sz w:val="24"/>
          <w:szCs w:val="24"/>
        </w:rPr>
        <w:t>Odp.</w:t>
      </w:r>
    </w:p>
    <w:p w14:paraId="7C2F59E7" w14:textId="2327D8F5" w:rsidR="00B5703D" w:rsidRPr="00B5703D" w:rsidRDefault="00B5703D" w:rsidP="00B5703D">
      <w:pPr>
        <w:pStyle w:val="Default"/>
        <w:spacing w:after="120"/>
        <w:rPr>
          <w:rFonts w:ascii="Arial" w:hAnsi="Arial" w:cs="Arial"/>
          <w:color w:val="auto"/>
        </w:rPr>
      </w:pPr>
      <w:r w:rsidRPr="00B5703D">
        <w:rPr>
          <w:rFonts w:ascii="Arial" w:hAnsi="Arial" w:cs="Arial"/>
        </w:rPr>
        <w:t>Zgodnie z Podrozdziałem 1.5 Regulaminu naboru: „Pamiętaj: sporządzenie IPD dla każdej osoby w wieku 15-29 lat rozpoczynającej udział w projekcie musi być poprzedzone oceną jej umiejętności cyfrowych (…). Osobie, która uzyska wynik niższy niż średniozaawansowany obligatoryjnie zaproponuj uzupełnienie poziomu umiejętności cyfrowych (np. szkolenie podnoszące umiejętności cyfrowe), tak by właściwa forma wsparcia mogła przebiegać na adekwatnym poziomie dostosowanym do jej umiejętności i potrzeb.” Wskazany zapis obliguje do zaplanowania w projekcie oceny umiejętności cyfrowych oraz wsparcia umożliwiającego ich uzupełnienie, w związku z czym stosowne założenia w tym zakresie powinny mieć swoje odzwierciedlenie we wniosku. Wyniki oceny powinny zostać uwzględnione w IPD, który jest dokumentem wskazującym m.in. formy pomocy niezbędne do poprawy sytuacji zawodowej danej osoby.</w:t>
      </w:r>
    </w:p>
    <w:p w14:paraId="510CE2B0" w14:textId="77777777" w:rsidR="00793B05" w:rsidRPr="00671625" w:rsidRDefault="00793B05" w:rsidP="00E86FE6">
      <w:pPr>
        <w:spacing w:after="120"/>
        <w:rPr>
          <w:rFonts w:ascii="Arial" w:hAnsi="Arial" w:cs="Arial"/>
          <w:sz w:val="24"/>
          <w:szCs w:val="24"/>
        </w:rPr>
      </w:pPr>
    </w:p>
    <w:p w14:paraId="34A57ECA" w14:textId="074A425D" w:rsidR="00B5703D" w:rsidRPr="00B5703D" w:rsidRDefault="00E86FE6" w:rsidP="00B5703D">
      <w:pPr>
        <w:pStyle w:val="Zwykytekst"/>
        <w:numPr>
          <w:ilvl w:val="0"/>
          <w:numId w:val="3"/>
        </w:numPr>
        <w:ind w:left="284" w:hanging="284"/>
        <w:rPr>
          <w:rFonts w:ascii="Arial" w:hAnsi="Arial" w:cs="Arial"/>
          <w:sz w:val="24"/>
          <w:szCs w:val="24"/>
        </w:rPr>
      </w:pPr>
      <w:r w:rsidRPr="00B5703D">
        <w:rPr>
          <w:rFonts w:ascii="Arial" w:hAnsi="Arial" w:cs="Arial"/>
          <w:b/>
          <w:bCs/>
          <w:sz w:val="24"/>
          <w:szCs w:val="24"/>
        </w:rPr>
        <w:t xml:space="preserve">Czy </w:t>
      </w:r>
      <w:r w:rsidR="00B5703D" w:rsidRPr="00B5703D">
        <w:rPr>
          <w:rFonts w:ascii="Arial" w:hAnsi="Arial" w:cs="Arial"/>
          <w:b/>
          <w:bCs/>
          <w:sz w:val="24"/>
          <w:szCs w:val="24"/>
        </w:rPr>
        <w:t>regulamin dopuszcza sytuację, w której ścieżka udziału w projekcie jest kontynuowana mimo braku realizacji szkolenia cyfrowego przez uczestnika z wynikiem poniżej średniozaawansowanego, jeśli odmowa udziału w takim szkoleniu zostanie poparta pisemnym oświadczeniem uczestnika oraz uzasadnieniem doradcy zawartym w IPD?</w:t>
      </w:r>
    </w:p>
    <w:p w14:paraId="5FFC629E" w14:textId="77777777" w:rsidR="00B5703D" w:rsidRPr="00B5703D" w:rsidRDefault="00B5703D" w:rsidP="00B5703D">
      <w:pPr>
        <w:pStyle w:val="Zwykytekst"/>
        <w:ind w:left="284"/>
        <w:rPr>
          <w:rFonts w:ascii="Arial" w:hAnsi="Arial" w:cs="Arial"/>
          <w:sz w:val="24"/>
          <w:szCs w:val="24"/>
        </w:rPr>
      </w:pPr>
    </w:p>
    <w:p w14:paraId="74A8CCBB" w14:textId="5DD098BC" w:rsidR="00E86FE6" w:rsidRPr="00E86FE6" w:rsidRDefault="00E86FE6" w:rsidP="00671625">
      <w:pPr>
        <w:rPr>
          <w:rFonts w:ascii="Arial" w:hAnsi="Arial" w:cs="Arial"/>
          <w:b/>
          <w:bCs/>
          <w:sz w:val="24"/>
          <w:szCs w:val="24"/>
        </w:rPr>
      </w:pPr>
      <w:r w:rsidRPr="00E86FE6">
        <w:rPr>
          <w:rFonts w:ascii="Arial" w:hAnsi="Arial" w:cs="Arial"/>
          <w:b/>
          <w:bCs/>
          <w:sz w:val="24"/>
          <w:szCs w:val="24"/>
        </w:rPr>
        <w:t xml:space="preserve">Odp. </w:t>
      </w:r>
    </w:p>
    <w:p w14:paraId="7BD5681B" w14:textId="433CE2FE" w:rsidR="00B5703D" w:rsidRPr="00B5703D" w:rsidRDefault="00B5703D" w:rsidP="00B5703D">
      <w:pPr>
        <w:pStyle w:val="Zwykytekst"/>
        <w:spacing w:after="120"/>
        <w:rPr>
          <w:rFonts w:ascii="Arial" w:hAnsi="Arial" w:cs="Arial"/>
          <w:sz w:val="24"/>
          <w:szCs w:val="24"/>
        </w:rPr>
      </w:pPr>
      <w:r w:rsidRPr="00B5703D">
        <w:rPr>
          <w:rFonts w:ascii="Arial" w:hAnsi="Arial" w:cs="Arial"/>
          <w:sz w:val="24"/>
          <w:szCs w:val="24"/>
        </w:rPr>
        <w:t xml:space="preserve">Zapisy Regulaminu, o których mowa w Podrozdziale 1.5 obligują wnioskodawcę do zaproponowania możliwości podniesienia kompetencji cyfrowych tym osobom, które uzyskały wynik niższy niż średniozaawansowany. Źródłem tych zapisów są Wytyczne dotyczące realizacji projektów z udziałem środków EFS+ w regionalnych programach na lata 2021-2027, które nie warunkują możliwości udziału w projekcie od przyjęcia propozycji podniesienia kompetencji cyfrowych. Należy jednak dążyć do przekonania uczestników do wzięcia udziału w tego typu wsparciu, wskazując na jego pozytywne efekty, bowiem diagnoza w zakresie kompetencji cyfrowych ma ten sam cel co diagnoza pozostałych potrzeb zidentyfikowanych w IPD, tj. udział uczestników we wszystkich formach wsparcia niezbędnych do poprawy ich sytuacji na rynku pracy. </w:t>
      </w:r>
    </w:p>
    <w:p w14:paraId="0B699578" w14:textId="77777777" w:rsidR="00D36C2E" w:rsidRDefault="00D36C2E" w:rsidP="00D36C2E"/>
    <w:p w14:paraId="66838340" w14:textId="5614D641" w:rsidR="00B5703D" w:rsidRPr="00B5703D" w:rsidRDefault="00D36C2E" w:rsidP="00B5703D">
      <w:pPr>
        <w:pStyle w:val="Akapitzlist"/>
        <w:numPr>
          <w:ilvl w:val="0"/>
          <w:numId w:val="8"/>
        </w:numPr>
        <w:spacing w:before="0" w:after="0" w:line="240" w:lineRule="auto"/>
        <w:ind w:left="284" w:hanging="284"/>
        <w:contextualSpacing w:val="0"/>
        <w:rPr>
          <w:b/>
          <w:bCs/>
          <w:color w:val="000000"/>
          <w:sz w:val="24"/>
          <w:szCs w:val="24"/>
        </w:rPr>
      </w:pPr>
      <w:r w:rsidRPr="00B5703D">
        <w:rPr>
          <w:b/>
          <w:bCs/>
          <w:color w:val="000000"/>
          <w:sz w:val="24"/>
          <w:szCs w:val="24"/>
        </w:rPr>
        <w:t>Cz</w:t>
      </w:r>
      <w:r w:rsidR="00B5703D" w:rsidRPr="00B5703D">
        <w:rPr>
          <w:b/>
          <w:bCs/>
          <w:sz w:val="24"/>
          <w:szCs w:val="24"/>
        </w:rPr>
        <w:t xml:space="preserve">y w przypadku osób wymagających uzupełnienia kompetencji cyfrowych, obowiązek ten można uznać za spełniony poprzez skierowanie uczestnika na szkolenie zawodowe, które w swoim programie zawiera moduł obsługi </w:t>
      </w:r>
      <w:r w:rsidR="00B5703D" w:rsidRPr="00B5703D">
        <w:rPr>
          <w:b/>
          <w:bCs/>
          <w:sz w:val="24"/>
          <w:szCs w:val="24"/>
        </w:rPr>
        <w:lastRenderedPageBreak/>
        <w:t>komputera/programów specjalistycznych (np. „Nowoczesny pracownik biurowy z elementami obsługi komputera”), zamiast realizowania dwóch odrębnych kursów? Czy taki zintegrowany program szkolenia, kończący się walidacją kompetencji, jest wystarczający w świetle wymogów konkursu?</w:t>
      </w:r>
    </w:p>
    <w:p w14:paraId="3B9E4EAC" w14:textId="77777777" w:rsidR="00B5703D" w:rsidRPr="00B5703D" w:rsidRDefault="00B5703D" w:rsidP="00B5703D">
      <w:pPr>
        <w:rPr>
          <w:b/>
          <w:bCs/>
          <w:color w:val="000000"/>
          <w:sz w:val="24"/>
          <w:szCs w:val="24"/>
        </w:rPr>
      </w:pPr>
    </w:p>
    <w:p w14:paraId="3A0D6494" w14:textId="1D20B28F" w:rsidR="00D36C2E" w:rsidRPr="00D36C2E" w:rsidRDefault="00D36C2E" w:rsidP="00D36C2E">
      <w:pPr>
        <w:rPr>
          <w:rFonts w:ascii="Arial" w:hAnsi="Arial" w:cs="Arial"/>
          <w:b/>
          <w:bCs/>
          <w:color w:val="000000"/>
          <w:sz w:val="24"/>
          <w:szCs w:val="24"/>
        </w:rPr>
      </w:pPr>
      <w:r w:rsidRPr="00D36C2E">
        <w:rPr>
          <w:rFonts w:ascii="Arial" w:hAnsi="Arial" w:cs="Arial"/>
          <w:b/>
          <w:bCs/>
          <w:color w:val="000000"/>
          <w:sz w:val="24"/>
          <w:szCs w:val="24"/>
        </w:rPr>
        <w:t>Odp.</w:t>
      </w:r>
    </w:p>
    <w:p w14:paraId="07500DF3" w14:textId="2DE0ED2D" w:rsidR="00B5703D" w:rsidRPr="00B5703D" w:rsidRDefault="00D36C2E" w:rsidP="00B5703D">
      <w:pPr>
        <w:rPr>
          <w:rFonts w:ascii="Arial" w:hAnsi="Arial" w:cs="Arial"/>
          <w:sz w:val="24"/>
          <w:szCs w:val="24"/>
        </w:rPr>
      </w:pPr>
      <w:r w:rsidRPr="00B5703D">
        <w:rPr>
          <w:rFonts w:ascii="Arial" w:hAnsi="Arial" w:cs="Arial"/>
          <w:sz w:val="24"/>
          <w:szCs w:val="24"/>
        </w:rPr>
        <w:t xml:space="preserve">W </w:t>
      </w:r>
      <w:r w:rsidR="00B5703D" w:rsidRPr="00B5703D">
        <w:rPr>
          <w:rFonts w:ascii="Arial" w:hAnsi="Arial" w:cs="Arial"/>
          <w:sz w:val="24"/>
          <w:szCs w:val="24"/>
        </w:rPr>
        <w:t xml:space="preserve">Regulaminie naboru wskazaliśmy, że „Osobie, która uzyska wynik niższy niż średniozaawansowany obligatoryjnie zaproponuj uzupełnienie poziomu umiejętności cyfrowych (np. szkolenie podnoszące umiejętności cyfrowe), </w:t>
      </w:r>
      <w:r w:rsidR="00B5703D" w:rsidRPr="00B5703D">
        <w:rPr>
          <w:rFonts w:ascii="Arial" w:hAnsi="Arial" w:cs="Arial"/>
          <w:b/>
          <w:sz w:val="24"/>
          <w:szCs w:val="24"/>
        </w:rPr>
        <w:t>tak by właściwa forma wsparcia mogła przebiegać na adekwatnym poziomie dostosowanym do jej umiejętności i potrzeb.</w:t>
      </w:r>
      <w:r w:rsidR="00B5703D" w:rsidRPr="00B5703D">
        <w:rPr>
          <w:rFonts w:ascii="Arial" w:hAnsi="Arial" w:cs="Arial"/>
          <w:sz w:val="24"/>
          <w:szCs w:val="24"/>
        </w:rPr>
        <w:t xml:space="preserve">” Zatem wsparcie w zakresie podniesienia umiejętności cyfrowych powinno być tak zaplanowane, by osoba uczestnicząca w projekcie była przygotowana do udziału we właściwych formach wsparcia na adekwatnym poziomie. Rekomendujemy zatem, by wsparcie podnoszące kompetencje cyfrowe było organizowane jako szkolenie jeszcze przed rozpoczęciem właściwych form wsparcia.   </w:t>
      </w:r>
    </w:p>
    <w:p w14:paraId="5EF90DEB" w14:textId="1397DD18" w:rsidR="00D06939" w:rsidRPr="00AB656F" w:rsidRDefault="00D06939" w:rsidP="004A27D2">
      <w:pPr>
        <w:rPr>
          <w:rFonts w:ascii="Arial" w:hAnsi="Arial" w:cs="Arial"/>
          <w:sz w:val="24"/>
          <w:szCs w:val="24"/>
        </w:rPr>
      </w:pPr>
    </w:p>
    <w:p w14:paraId="2B81D439" w14:textId="77777777" w:rsidR="00653E24" w:rsidRPr="00AB656F" w:rsidRDefault="00653E24" w:rsidP="004A27D2">
      <w:pPr>
        <w:pStyle w:val="Akapitzlist"/>
        <w:numPr>
          <w:ilvl w:val="0"/>
          <w:numId w:val="12"/>
        </w:numPr>
        <w:spacing w:before="0" w:after="0" w:line="240" w:lineRule="auto"/>
        <w:ind w:left="284" w:hanging="284"/>
        <w:contextualSpacing w:val="0"/>
        <w:rPr>
          <w:b/>
          <w:bCs/>
          <w:color w:val="000000"/>
          <w:sz w:val="24"/>
          <w:szCs w:val="24"/>
        </w:rPr>
      </w:pPr>
      <w:r w:rsidRPr="00AB656F">
        <w:rPr>
          <w:b/>
          <w:bCs/>
          <w:color w:val="000000"/>
          <w:sz w:val="24"/>
          <w:szCs w:val="24"/>
        </w:rPr>
        <w:t>Czy wnioskodawca jest zobowiązany do dodania własnych wskaźników produktu, adekwatnych do wybranych kryteriów premiujących? Czy wnioskodawca ma obowiązek dołączać jakiekolwiek wskaźniki własne?</w:t>
      </w:r>
    </w:p>
    <w:p w14:paraId="4FD7EE12" w14:textId="77777777" w:rsidR="004A27D2" w:rsidRDefault="004A27D2" w:rsidP="004A27D2">
      <w:pPr>
        <w:rPr>
          <w:rFonts w:ascii="Arial" w:hAnsi="Arial" w:cs="Arial"/>
          <w:b/>
          <w:bCs/>
          <w:color w:val="000000"/>
          <w:sz w:val="24"/>
          <w:szCs w:val="24"/>
        </w:rPr>
      </w:pPr>
    </w:p>
    <w:p w14:paraId="1023CD24" w14:textId="6E0BA578" w:rsidR="00653E24" w:rsidRPr="00AB656F" w:rsidRDefault="00DF6627" w:rsidP="004A27D2">
      <w:pPr>
        <w:rPr>
          <w:rFonts w:ascii="Arial" w:hAnsi="Arial" w:cs="Arial"/>
          <w:b/>
          <w:bCs/>
          <w:color w:val="000000"/>
          <w:sz w:val="24"/>
          <w:szCs w:val="24"/>
        </w:rPr>
      </w:pPr>
      <w:r>
        <w:rPr>
          <w:rFonts w:ascii="Arial" w:hAnsi="Arial" w:cs="Arial"/>
          <w:b/>
          <w:bCs/>
          <w:color w:val="000000"/>
          <w:sz w:val="24"/>
          <w:szCs w:val="24"/>
        </w:rPr>
        <w:t>Odp.</w:t>
      </w:r>
    </w:p>
    <w:p w14:paraId="31C551E8" w14:textId="26F6B2C7" w:rsidR="00653E24" w:rsidRPr="00AB656F" w:rsidRDefault="00653E24" w:rsidP="004A27D2">
      <w:pPr>
        <w:rPr>
          <w:rFonts w:ascii="Arial" w:hAnsi="Arial" w:cs="Arial"/>
          <w:color w:val="000000"/>
          <w:sz w:val="24"/>
          <w:szCs w:val="24"/>
        </w:rPr>
      </w:pPr>
      <w:r w:rsidRPr="00AB656F">
        <w:rPr>
          <w:rFonts w:ascii="Arial" w:hAnsi="Arial" w:cs="Arial"/>
          <w:color w:val="000000"/>
          <w:sz w:val="24"/>
          <w:szCs w:val="24"/>
        </w:rPr>
        <w:t>Jak wskazano w Regulaminie wyboru projektów (Podrozdział 1.8) we wniosku o dofinansowanie nie należy uwzględniać żadnych własnych wskaźników. Wszystkie wymagane wskaźniki produktu i rezultatu przedstawiono w Regulaminie.</w:t>
      </w:r>
    </w:p>
    <w:p w14:paraId="09D84CA5" w14:textId="77777777" w:rsidR="00653E24" w:rsidRPr="00AB656F" w:rsidRDefault="00653E24" w:rsidP="004A27D2">
      <w:pPr>
        <w:rPr>
          <w:rFonts w:ascii="Arial" w:hAnsi="Arial" w:cs="Arial"/>
          <w:color w:val="000000"/>
          <w:sz w:val="24"/>
          <w:szCs w:val="24"/>
        </w:rPr>
      </w:pPr>
    </w:p>
    <w:p w14:paraId="6817B516" w14:textId="0937D512" w:rsidR="00653E24" w:rsidRPr="00AB656F" w:rsidRDefault="00653E24" w:rsidP="004A27D2">
      <w:pPr>
        <w:pStyle w:val="Akapitzlist"/>
        <w:numPr>
          <w:ilvl w:val="0"/>
          <w:numId w:val="12"/>
        </w:numPr>
        <w:spacing w:before="0" w:after="0" w:line="240" w:lineRule="auto"/>
        <w:ind w:left="284" w:hanging="284"/>
        <w:contextualSpacing w:val="0"/>
        <w:rPr>
          <w:b/>
          <w:bCs/>
          <w:color w:val="000000"/>
          <w:sz w:val="24"/>
          <w:szCs w:val="24"/>
        </w:rPr>
      </w:pPr>
      <w:r w:rsidRPr="00AB656F">
        <w:rPr>
          <w:b/>
          <w:bCs/>
          <w:color w:val="000000"/>
          <w:sz w:val="24"/>
          <w:szCs w:val="24"/>
        </w:rPr>
        <w:t>Czy w naborze obowiązują jakieś limity budżetowe (z obowiązkiem odznaczania Limitu w pozycjach budżetowych)?</w:t>
      </w:r>
    </w:p>
    <w:p w14:paraId="6B111D2F" w14:textId="77777777" w:rsidR="004A27D2" w:rsidRDefault="004A27D2" w:rsidP="004A27D2">
      <w:pPr>
        <w:rPr>
          <w:rFonts w:ascii="Arial" w:hAnsi="Arial" w:cs="Arial"/>
          <w:b/>
          <w:bCs/>
          <w:color w:val="000000"/>
          <w:sz w:val="24"/>
          <w:szCs w:val="24"/>
        </w:rPr>
      </w:pPr>
    </w:p>
    <w:p w14:paraId="5824C1F0" w14:textId="29D4FD96" w:rsidR="00DF6627" w:rsidRPr="00DF6627" w:rsidRDefault="00DF6627" w:rsidP="004A27D2">
      <w:pPr>
        <w:rPr>
          <w:rFonts w:ascii="Arial" w:hAnsi="Arial" w:cs="Arial"/>
          <w:b/>
          <w:bCs/>
          <w:color w:val="000000"/>
          <w:sz w:val="24"/>
          <w:szCs w:val="24"/>
        </w:rPr>
      </w:pPr>
      <w:r w:rsidRPr="00DF6627">
        <w:rPr>
          <w:rFonts w:ascii="Arial" w:hAnsi="Arial" w:cs="Arial"/>
          <w:b/>
          <w:bCs/>
          <w:color w:val="000000"/>
          <w:sz w:val="24"/>
          <w:szCs w:val="24"/>
        </w:rPr>
        <w:t>Odp.</w:t>
      </w:r>
    </w:p>
    <w:p w14:paraId="3DF5D8D9" w14:textId="3848B3C1" w:rsidR="00653E24" w:rsidRPr="00AB656F" w:rsidRDefault="00653E24" w:rsidP="004A27D2">
      <w:pPr>
        <w:rPr>
          <w:rFonts w:ascii="Arial" w:hAnsi="Arial" w:cs="Arial"/>
          <w:color w:val="000000"/>
          <w:sz w:val="24"/>
          <w:szCs w:val="24"/>
        </w:rPr>
      </w:pPr>
      <w:r w:rsidRPr="00AB656F">
        <w:rPr>
          <w:rFonts w:ascii="Arial" w:hAnsi="Arial" w:cs="Arial"/>
          <w:color w:val="000000"/>
          <w:sz w:val="24"/>
          <w:szCs w:val="24"/>
        </w:rPr>
        <w:t>Limity w budżecie projektu należy wykazać w sposób zgodny z zapisami Instrukcji (merytorycznej) wypełniania wniosku o dofinansowanie projektu współfinansowanego z EFS+ w ramach programu Fundusze Europejskie dla Warmii i Mazur (</w:t>
      </w:r>
      <w:proofErr w:type="spellStart"/>
      <w:r w:rsidRPr="00AB656F">
        <w:rPr>
          <w:rFonts w:ascii="Arial" w:hAnsi="Arial" w:cs="Arial"/>
          <w:color w:val="000000"/>
          <w:sz w:val="24"/>
          <w:szCs w:val="24"/>
        </w:rPr>
        <w:t>FEWiM</w:t>
      </w:r>
      <w:proofErr w:type="spellEnd"/>
      <w:r w:rsidRPr="00AB656F">
        <w:rPr>
          <w:rFonts w:ascii="Arial" w:hAnsi="Arial" w:cs="Arial"/>
          <w:color w:val="000000"/>
          <w:sz w:val="24"/>
          <w:szCs w:val="24"/>
        </w:rPr>
        <w:t>) 2021-2027.</w:t>
      </w:r>
    </w:p>
    <w:p w14:paraId="3616806F" w14:textId="1849F1FA" w:rsidR="00653E24" w:rsidRPr="00AB656F" w:rsidRDefault="00653E24" w:rsidP="004A27D2">
      <w:pPr>
        <w:rPr>
          <w:rFonts w:ascii="Arial" w:hAnsi="Arial" w:cs="Arial"/>
          <w:color w:val="000000"/>
          <w:sz w:val="24"/>
          <w:szCs w:val="24"/>
        </w:rPr>
      </w:pPr>
    </w:p>
    <w:p w14:paraId="67D4BA84" w14:textId="1B7EF550" w:rsidR="00653E24" w:rsidRPr="00AB656F" w:rsidRDefault="00653E24" w:rsidP="004A27D2">
      <w:pPr>
        <w:pStyle w:val="Akapitzlist"/>
        <w:numPr>
          <w:ilvl w:val="0"/>
          <w:numId w:val="12"/>
        </w:numPr>
        <w:spacing w:before="0" w:after="0" w:line="240" w:lineRule="auto"/>
        <w:ind w:left="284" w:hanging="284"/>
        <w:contextualSpacing w:val="0"/>
        <w:rPr>
          <w:b/>
          <w:bCs/>
          <w:color w:val="000000"/>
          <w:sz w:val="24"/>
          <w:szCs w:val="24"/>
        </w:rPr>
      </w:pPr>
      <w:r w:rsidRPr="00AB656F">
        <w:rPr>
          <w:b/>
          <w:bCs/>
          <w:color w:val="000000"/>
          <w:sz w:val="24"/>
          <w:szCs w:val="24"/>
        </w:rPr>
        <w:t>Czy w przypadku każdej “Usługi zleconej” wnioskodawca jest zobowiązany w pozycji budżetowej (Budżet szczegółowy) odznaczyć Limit?</w:t>
      </w:r>
    </w:p>
    <w:p w14:paraId="40110298" w14:textId="77777777" w:rsidR="004A27D2" w:rsidRDefault="004A27D2" w:rsidP="004A27D2">
      <w:pPr>
        <w:rPr>
          <w:rFonts w:ascii="Arial" w:hAnsi="Arial" w:cs="Arial"/>
          <w:b/>
          <w:bCs/>
          <w:color w:val="000000"/>
          <w:sz w:val="24"/>
          <w:szCs w:val="24"/>
        </w:rPr>
      </w:pPr>
    </w:p>
    <w:p w14:paraId="6BCAF55E" w14:textId="0A998F09" w:rsidR="00DF6627" w:rsidRPr="00DF6627" w:rsidRDefault="00DF6627" w:rsidP="004A27D2">
      <w:pPr>
        <w:rPr>
          <w:rFonts w:ascii="Arial" w:hAnsi="Arial" w:cs="Arial"/>
          <w:b/>
          <w:bCs/>
          <w:color w:val="000000"/>
          <w:sz w:val="24"/>
          <w:szCs w:val="24"/>
        </w:rPr>
      </w:pPr>
      <w:r w:rsidRPr="00DF6627">
        <w:rPr>
          <w:rFonts w:ascii="Arial" w:hAnsi="Arial" w:cs="Arial"/>
          <w:b/>
          <w:bCs/>
          <w:color w:val="000000"/>
          <w:sz w:val="24"/>
          <w:szCs w:val="24"/>
        </w:rPr>
        <w:t>Odp.</w:t>
      </w:r>
    </w:p>
    <w:p w14:paraId="7095B655" w14:textId="2D1077A6" w:rsidR="00653E24" w:rsidRPr="00AB656F" w:rsidRDefault="00653E24" w:rsidP="004A27D2">
      <w:pPr>
        <w:rPr>
          <w:rFonts w:ascii="Arial" w:hAnsi="Arial" w:cs="Arial"/>
          <w:color w:val="000000"/>
          <w:sz w:val="24"/>
          <w:szCs w:val="24"/>
        </w:rPr>
      </w:pPr>
      <w:r w:rsidRPr="00AB656F">
        <w:rPr>
          <w:rFonts w:ascii="Arial" w:hAnsi="Arial" w:cs="Arial"/>
          <w:color w:val="000000"/>
          <w:sz w:val="24"/>
          <w:szCs w:val="24"/>
        </w:rPr>
        <w:t>Zgodnie z zapisami Instrukcji, stanowiącej załącznik nr 2 do Regulaminu „w przypadku gdy dany wydatek dotyczy usługi/dostawy lub towaru, który będzie dostarczony przez wykonawcę zewnętrznego należy zaznaczyć go jako wydatek zliczany w ramach limitu podwykonawstwo. Do limitu należy wliczyć nie tylko zlecania w trybie ustawy Prawo zamówień publicznych, czy w oparciu o zasadę konkurencyjności, ale również wszystkie inne zlecania w tym zlecenie w drodze umowy o dzieło. Do tego limitu będą wliczane m.in. wszystkie wydatki przyporządkowane do kategorii wydatków usługi zewnętrzne”.</w:t>
      </w:r>
    </w:p>
    <w:p w14:paraId="0251B507" w14:textId="139A7E53" w:rsidR="00653E24" w:rsidRPr="00AB656F" w:rsidRDefault="00653E24" w:rsidP="004A27D2">
      <w:pPr>
        <w:rPr>
          <w:rFonts w:ascii="Arial" w:hAnsi="Arial" w:cs="Arial"/>
          <w:color w:val="000000"/>
          <w:sz w:val="24"/>
          <w:szCs w:val="24"/>
        </w:rPr>
      </w:pPr>
    </w:p>
    <w:p w14:paraId="28ECF326" w14:textId="375B38DD" w:rsidR="00653E24" w:rsidRPr="00AB656F" w:rsidRDefault="00653E24" w:rsidP="004A27D2">
      <w:pPr>
        <w:pStyle w:val="Akapitzlist"/>
        <w:numPr>
          <w:ilvl w:val="0"/>
          <w:numId w:val="12"/>
        </w:numPr>
        <w:spacing w:before="0" w:after="0" w:line="240" w:lineRule="auto"/>
        <w:ind w:left="284" w:hanging="284"/>
        <w:contextualSpacing w:val="0"/>
        <w:rPr>
          <w:b/>
          <w:bCs/>
          <w:color w:val="000000"/>
          <w:sz w:val="24"/>
          <w:szCs w:val="24"/>
        </w:rPr>
      </w:pPr>
      <w:r w:rsidRPr="00AB656F">
        <w:rPr>
          <w:b/>
          <w:bCs/>
          <w:color w:val="000000"/>
          <w:sz w:val="24"/>
          <w:szCs w:val="24"/>
        </w:rPr>
        <w:t>Czy wnioskodawca jest zobowiązany stosować (i zapisać w projekcie) zasady wynikające z Gwarancji dla młodzieży?</w:t>
      </w:r>
    </w:p>
    <w:p w14:paraId="69EB20D7" w14:textId="55C77570" w:rsidR="00DF6627" w:rsidRPr="00DF6627" w:rsidRDefault="00DF6627" w:rsidP="004A27D2">
      <w:pPr>
        <w:rPr>
          <w:rFonts w:ascii="Arial" w:hAnsi="Arial" w:cs="Arial"/>
          <w:b/>
          <w:bCs/>
          <w:color w:val="000000"/>
          <w:sz w:val="24"/>
          <w:szCs w:val="24"/>
        </w:rPr>
      </w:pPr>
      <w:r w:rsidRPr="00DF6627">
        <w:rPr>
          <w:rFonts w:ascii="Arial" w:hAnsi="Arial" w:cs="Arial"/>
          <w:b/>
          <w:bCs/>
          <w:color w:val="000000"/>
          <w:sz w:val="24"/>
          <w:szCs w:val="24"/>
        </w:rPr>
        <w:lastRenderedPageBreak/>
        <w:t>Odp.</w:t>
      </w:r>
    </w:p>
    <w:p w14:paraId="41A13F44" w14:textId="14ED2D2F" w:rsidR="00653E24" w:rsidRPr="00AB656F" w:rsidRDefault="00653E24" w:rsidP="004A27D2">
      <w:pPr>
        <w:rPr>
          <w:rFonts w:ascii="Arial" w:hAnsi="Arial" w:cs="Arial"/>
          <w:b/>
          <w:bCs/>
          <w:sz w:val="24"/>
          <w:szCs w:val="24"/>
        </w:rPr>
      </w:pPr>
      <w:r w:rsidRPr="00AB656F">
        <w:rPr>
          <w:rFonts w:ascii="Arial" w:hAnsi="Arial" w:cs="Arial"/>
          <w:color w:val="000000"/>
          <w:sz w:val="24"/>
          <w:szCs w:val="24"/>
        </w:rPr>
        <w:t>Podmioty zobligowane do stosowania Gwarancji dla młodzieży zostały wskazane wprost w planie Gwarancji dla młodzieży. Jeśli wnioskodawca nie został wskazany w ww. dokumencie, nie jest zobowiązany do ich stosowania w trakcie realizacji wsparcia w ramach Działania 7.2. Szczegółowe wymagania dotyczące realizacji wsparcia zostały opisane w Regulaminie wyboru projektów.</w:t>
      </w:r>
    </w:p>
    <w:p w14:paraId="1E446E58" w14:textId="65BC4700" w:rsidR="00653E24" w:rsidRPr="004C12DB" w:rsidRDefault="00653E24" w:rsidP="004C12DB">
      <w:pPr>
        <w:rPr>
          <w:rFonts w:ascii="Arial" w:hAnsi="Arial" w:cs="Arial"/>
          <w:b/>
          <w:bCs/>
          <w:sz w:val="24"/>
          <w:szCs w:val="24"/>
          <w:u w:val="single"/>
        </w:rPr>
      </w:pPr>
    </w:p>
    <w:p w14:paraId="29DAA59C" w14:textId="55541A90" w:rsidR="004C12DB" w:rsidRPr="004C12DB" w:rsidRDefault="004C12DB" w:rsidP="004C12DB">
      <w:pPr>
        <w:pStyle w:val="Akapitzlist"/>
        <w:numPr>
          <w:ilvl w:val="0"/>
          <w:numId w:val="15"/>
        </w:numPr>
        <w:spacing w:before="0" w:after="0" w:line="240" w:lineRule="auto"/>
        <w:ind w:left="284" w:hanging="284"/>
        <w:contextualSpacing w:val="0"/>
        <w:rPr>
          <w:b/>
          <w:bCs/>
          <w:sz w:val="24"/>
          <w:szCs w:val="24"/>
        </w:rPr>
      </w:pPr>
      <w:r w:rsidRPr="004C12DB">
        <w:rPr>
          <w:b/>
          <w:bCs/>
          <w:sz w:val="24"/>
          <w:szCs w:val="24"/>
        </w:rPr>
        <w:t>Proszę</w:t>
      </w:r>
      <w:r w:rsidR="005339DB" w:rsidRPr="004C12DB">
        <w:rPr>
          <w:b/>
          <w:bCs/>
          <w:sz w:val="24"/>
          <w:szCs w:val="24"/>
        </w:rPr>
        <w:t xml:space="preserve"> o wyjaśnienie zapisu zawartego w regulaminie wyboru projektów, który brzmi: „Wsparcie musi być realizowane poza miejscem i godzinami pracy osób biorących udział w projekcie”.</w:t>
      </w:r>
      <w:r w:rsidR="005339DB" w:rsidRPr="004C12DB">
        <w:rPr>
          <w:b/>
          <w:bCs/>
          <w:sz w:val="24"/>
          <w:szCs w:val="24"/>
        </w:rPr>
        <w:br/>
        <w:t>Czy dopuszczalna jest realizacja szkolenia zawodowego (np. „Profesjonalny Recepcjonista”) w obiekcie (hotelu/restauracji), który na co dzień jest miejscem świadczenia pracy dla 1 lub 2 uczestników danego szkolenia, w sytuacji gdy:</w:t>
      </w:r>
    </w:p>
    <w:p w14:paraId="758E2126" w14:textId="77777777" w:rsidR="004C12DB" w:rsidRDefault="005339DB" w:rsidP="004C12DB">
      <w:pPr>
        <w:pStyle w:val="Akapitzlist"/>
        <w:numPr>
          <w:ilvl w:val="0"/>
          <w:numId w:val="16"/>
        </w:numPr>
        <w:spacing w:before="0" w:after="0" w:line="240" w:lineRule="auto"/>
        <w:contextualSpacing w:val="0"/>
        <w:rPr>
          <w:b/>
          <w:bCs/>
          <w:sz w:val="24"/>
          <w:szCs w:val="24"/>
        </w:rPr>
      </w:pPr>
      <w:r w:rsidRPr="004C12DB">
        <w:rPr>
          <w:b/>
          <w:bCs/>
          <w:sz w:val="24"/>
          <w:szCs w:val="24"/>
        </w:rPr>
        <w:t>Szkolenie jest realizowane przez zewnętrzną firmę szkoleniową, niezależną od właściciela obiektu;</w:t>
      </w:r>
    </w:p>
    <w:p w14:paraId="7E60ACF3" w14:textId="77777777" w:rsidR="004C12DB" w:rsidRDefault="005339DB" w:rsidP="004C12DB">
      <w:pPr>
        <w:pStyle w:val="Akapitzlist"/>
        <w:numPr>
          <w:ilvl w:val="0"/>
          <w:numId w:val="16"/>
        </w:numPr>
        <w:spacing w:before="0" w:after="0" w:line="240" w:lineRule="auto"/>
        <w:contextualSpacing w:val="0"/>
        <w:rPr>
          <w:b/>
          <w:bCs/>
          <w:sz w:val="24"/>
          <w:szCs w:val="24"/>
        </w:rPr>
      </w:pPr>
      <w:r w:rsidRPr="004C12DB">
        <w:rPr>
          <w:b/>
          <w:bCs/>
          <w:sz w:val="24"/>
          <w:szCs w:val="24"/>
        </w:rPr>
        <w:t>Uczestnicy biorą udział w szkoleniu poza swoimi godzinami pracy (w czasie wolnym);</w:t>
      </w:r>
    </w:p>
    <w:p w14:paraId="2B38CF75" w14:textId="77777777" w:rsidR="004C12DB" w:rsidRDefault="005339DB" w:rsidP="004C12DB">
      <w:pPr>
        <w:pStyle w:val="Akapitzlist"/>
        <w:numPr>
          <w:ilvl w:val="0"/>
          <w:numId w:val="16"/>
        </w:numPr>
        <w:spacing w:before="0" w:after="0" w:line="240" w:lineRule="auto"/>
        <w:contextualSpacing w:val="0"/>
        <w:rPr>
          <w:b/>
          <w:bCs/>
          <w:sz w:val="24"/>
          <w:szCs w:val="24"/>
        </w:rPr>
      </w:pPr>
      <w:r w:rsidRPr="004C12DB">
        <w:rPr>
          <w:b/>
          <w:bCs/>
          <w:sz w:val="24"/>
          <w:szCs w:val="24"/>
        </w:rPr>
        <w:t xml:space="preserve">Wybór miejsca szkolenia jest podyktowany dostępnością infrastruktury niezbędnej do nabycia konkretnych umiejętności praktycznych oraz rynkową ofertą wynajmu </w:t>
      </w:r>
      <w:proofErr w:type="spellStart"/>
      <w:r w:rsidRPr="004C12DB">
        <w:rPr>
          <w:b/>
          <w:bCs/>
          <w:sz w:val="24"/>
          <w:szCs w:val="24"/>
        </w:rPr>
        <w:t>sal</w:t>
      </w:r>
      <w:proofErr w:type="spellEnd"/>
      <w:r w:rsidRPr="004C12DB">
        <w:rPr>
          <w:b/>
          <w:bCs/>
          <w:sz w:val="24"/>
          <w:szCs w:val="24"/>
        </w:rPr>
        <w:t xml:space="preserve"> szkoleniowych;</w:t>
      </w:r>
    </w:p>
    <w:p w14:paraId="140E11A6" w14:textId="3AF384C2" w:rsidR="004C12DB" w:rsidRPr="004C12DB" w:rsidRDefault="005339DB" w:rsidP="004C12DB">
      <w:pPr>
        <w:pStyle w:val="Akapitzlist"/>
        <w:numPr>
          <w:ilvl w:val="0"/>
          <w:numId w:val="16"/>
        </w:numPr>
        <w:spacing w:before="0" w:after="0" w:line="240" w:lineRule="auto"/>
        <w:contextualSpacing w:val="0"/>
        <w:rPr>
          <w:b/>
          <w:bCs/>
          <w:sz w:val="24"/>
          <w:szCs w:val="24"/>
        </w:rPr>
      </w:pPr>
      <w:r w:rsidRPr="004C12DB">
        <w:rPr>
          <w:b/>
          <w:bCs/>
          <w:sz w:val="24"/>
          <w:szCs w:val="24"/>
        </w:rPr>
        <w:t>W szkoleniu biorą udział także inne osoby z projektu, które nie są pracownikami tego obiektu?</w:t>
      </w:r>
    </w:p>
    <w:p w14:paraId="02FCB46E" w14:textId="5C1624E1" w:rsidR="005339DB" w:rsidRPr="004C12DB" w:rsidRDefault="005339DB" w:rsidP="004C12DB">
      <w:pPr>
        <w:pStyle w:val="Akapitzlist"/>
        <w:spacing w:before="0" w:after="0" w:line="240" w:lineRule="auto"/>
        <w:ind w:left="284"/>
        <w:contextualSpacing w:val="0"/>
        <w:rPr>
          <w:b/>
          <w:bCs/>
          <w:sz w:val="24"/>
          <w:szCs w:val="24"/>
        </w:rPr>
      </w:pPr>
      <w:r w:rsidRPr="004C12DB">
        <w:rPr>
          <w:b/>
          <w:bCs/>
          <w:sz w:val="24"/>
          <w:szCs w:val="24"/>
        </w:rPr>
        <w:t>Mamy wątpliwość, czy sam fakt fizycznej lokalizacji szkolenia w budynku będącym miejscem pracy uczestnika (mimo że odbywa się ono po godzinach pracy i w wynajętej części szkoleniowej) nie zostanie uznany za naruszenie zasady realizacji wsparcia „poza miejscem pracy”.</w:t>
      </w:r>
    </w:p>
    <w:p w14:paraId="24734463" w14:textId="75134BC0" w:rsidR="005339DB" w:rsidRPr="004C12DB" w:rsidRDefault="005339DB" w:rsidP="004C12DB">
      <w:pPr>
        <w:rPr>
          <w:rFonts w:ascii="Arial" w:hAnsi="Arial" w:cs="Arial"/>
          <w:b/>
          <w:bCs/>
          <w:sz w:val="24"/>
          <w:szCs w:val="24"/>
        </w:rPr>
      </w:pPr>
    </w:p>
    <w:p w14:paraId="004DF107" w14:textId="44407829" w:rsidR="005339DB" w:rsidRPr="004C12DB" w:rsidRDefault="005339DB" w:rsidP="004C12DB">
      <w:pPr>
        <w:rPr>
          <w:rFonts w:ascii="Arial" w:hAnsi="Arial" w:cs="Arial"/>
          <w:b/>
          <w:bCs/>
          <w:sz w:val="24"/>
          <w:szCs w:val="24"/>
        </w:rPr>
      </w:pPr>
      <w:r w:rsidRPr="004C12DB">
        <w:rPr>
          <w:rFonts w:ascii="Arial" w:hAnsi="Arial" w:cs="Arial"/>
          <w:b/>
          <w:bCs/>
          <w:sz w:val="24"/>
          <w:szCs w:val="24"/>
        </w:rPr>
        <w:t>Odp.</w:t>
      </w:r>
    </w:p>
    <w:p w14:paraId="682C7745" w14:textId="5DCA4589" w:rsidR="005339DB" w:rsidRPr="004C12DB" w:rsidRDefault="005339DB" w:rsidP="00727AE1">
      <w:pPr>
        <w:spacing w:after="120"/>
        <w:rPr>
          <w:rFonts w:ascii="Arial" w:hAnsi="Arial" w:cs="Arial"/>
          <w:color w:val="000000"/>
          <w:sz w:val="24"/>
          <w:szCs w:val="24"/>
        </w:rPr>
      </w:pPr>
      <w:r w:rsidRPr="004C12DB">
        <w:rPr>
          <w:rFonts w:ascii="Arial" w:hAnsi="Arial" w:cs="Arial"/>
          <w:color w:val="000000"/>
          <w:sz w:val="24"/>
          <w:szCs w:val="24"/>
        </w:rPr>
        <w:t>Nie jest dopuszczalna realizacja szkolenia zawodowego w obiekcie (hotelu/restauracji), który na co dzień jest miejscem świadczenia pracy uczestników danego szkolenia. W Podrozdziale 1.5 Regulaminu wyboru projektów jasno wskazano: „Zaoferuj wsparcie: (…) realizowane</w:t>
      </w:r>
      <w:r w:rsidRPr="004C12DB">
        <w:rPr>
          <w:rFonts w:ascii="Arial" w:hAnsi="Arial" w:cs="Arial"/>
          <w:b/>
          <w:bCs/>
          <w:color w:val="000000"/>
          <w:sz w:val="24"/>
          <w:szCs w:val="24"/>
        </w:rPr>
        <w:t xml:space="preserve"> poza miejscem i godzinami pracy </w:t>
      </w:r>
      <w:r w:rsidRPr="004C12DB">
        <w:rPr>
          <w:rFonts w:ascii="Arial" w:hAnsi="Arial" w:cs="Arial"/>
          <w:color w:val="000000"/>
          <w:sz w:val="24"/>
          <w:szCs w:val="24"/>
        </w:rPr>
        <w:t>osób biorących udział w projekcie”.</w:t>
      </w:r>
    </w:p>
    <w:p w14:paraId="0CE873A0" w14:textId="77777777" w:rsidR="005339DB" w:rsidRPr="004C12DB" w:rsidRDefault="005339DB" w:rsidP="004C12DB">
      <w:pPr>
        <w:rPr>
          <w:rFonts w:ascii="Arial" w:hAnsi="Arial" w:cs="Arial"/>
          <w:color w:val="000000"/>
          <w:sz w:val="24"/>
          <w:szCs w:val="24"/>
        </w:rPr>
      </w:pPr>
      <w:r w:rsidRPr="004C12DB">
        <w:rPr>
          <w:rFonts w:ascii="Arial" w:hAnsi="Arial" w:cs="Arial"/>
          <w:color w:val="000000"/>
          <w:sz w:val="24"/>
          <w:szCs w:val="24"/>
        </w:rPr>
        <w:t>Zapis ten oznacza, iż każdy rodzaj wsparcia w ramach projektu musi spełniać powyższy warunek. Nie ma zatem możliwości zaplanowania szkolenia dla uczestników w miejscu ich pracy zarówno, w sytuacji gdy:</w:t>
      </w:r>
    </w:p>
    <w:p w14:paraId="4CA887A2" w14:textId="77777777" w:rsidR="005339DB" w:rsidRPr="004C12DB" w:rsidRDefault="005339DB" w:rsidP="004C12DB">
      <w:pPr>
        <w:numPr>
          <w:ilvl w:val="0"/>
          <w:numId w:val="14"/>
        </w:numPr>
        <w:rPr>
          <w:rFonts w:ascii="Arial" w:hAnsi="Arial" w:cs="Arial"/>
          <w:color w:val="000000"/>
          <w:sz w:val="24"/>
          <w:szCs w:val="24"/>
        </w:rPr>
      </w:pPr>
      <w:r w:rsidRPr="004C12DB">
        <w:rPr>
          <w:rFonts w:ascii="Arial" w:hAnsi="Arial" w:cs="Arial"/>
          <w:color w:val="000000"/>
          <w:sz w:val="24"/>
          <w:szCs w:val="24"/>
        </w:rPr>
        <w:t>szkolenie jest realizowane przez zewnętrzną firmę szkoleniową, niezależną od właściciela obiektu;</w:t>
      </w:r>
    </w:p>
    <w:p w14:paraId="786828C4" w14:textId="77777777" w:rsidR="005339DB" w:rsidRPr="004C12DB" w:rsidRDefault="005339DB" w:rsidP="004C12DB">
      <w:pPr>
        <w:numPr>
          <w:ilvl w:val="0"/>
          <w:numId w:val="14"/>
        </w:numPr>
        <w:rPr>
          <w:rFonts w:ascii="Arial" w:hAnsi="Arial" w:cs="Arial"/>
          <w:color w:val="000000"/>
          <w:sz w:val="24"/>
          <w:szCs w:val="24"/>
        </w:rPr>
      </w:pPr>
      <w:r w:rsidRPr="004C12DB">
        <w:rPr>
          <w:rFonts w:ascii="Arial" w:hAnsi="Arial" w:cs="Arial"/>
          <w:color w:val="000000"/>
          <w:sz w:val="24"/>
          <w:szCs w:val="24"/>
        </w:rPr>
        <w:t xml:space="preserve">wybór miejsca szkolenia jest podyktowany dostępnością infrastruktury niezbędnej do nabycia konkretnych umiejętności praktycznych oraz rynkową ofertą wynajmu </w:t>
      </w:r>
      <w:proofErr w:type="spellStart"/>
      <w:r w:rsidRPr="004C12DB">
        <w:rPr>
          <w:rFonts w:ascii="Arial" w:hAnsi="Arial" w:cs="Arial"/>
          <w:color w:val="000000"/>
          <w:sz w:val="24"/>
          <w:szCs w:val="24"/>
        </w:rPr>
        <w:t>sal</w:t>
      </w:r>
      <w:proofErr w:type="spellEnd"/>
      <w:r w:rsidRPr="004C12DB">
        <w:rPr>
          <w:rFonts w:ascii="Arial" w:hAnsi="Arial" w:cs="Arial"/>
          <w:color w:val="000000"/>
          <w:sz w:val="24"/>
          <w:szCs w:val="24"/>
        </w:rPr>
        <w:t xml:space="preserve"> szkoleniowych;</w:t>
      </w:r>
    </w:p>
    <w:p w14:paraId="4EF0DC04" w14:textId="77777777" w:rsidR="005339DB" w:rsidRPr="004C12DB" w:rsidRDefault="005339DB" w:rsidP="00727AE1">
      <w:pPr>
        <w:numPr>
          <w:ilvl w:val="0"/>
          <w:numId w:val="14"/>
        </w:numPr>
        <w:spacing w:after="120"/>
        <w:ind w:left="714" w:hanging="357"/>
        <w:rPr>
          <w:rFonts w:ascii="Arial" w:hAnsi="Arial" w:cs="Arial"/>
          <w:color w:val="000000"/>
          <w:sz w:val="24"/>
          <w:szCs w:val="24"/>
        </w:rPr>
      </w:pPr>
      <w:r w:rsidRPr="004C12DB">
        <w:rPr>
          <w:rFonts w:ascii="Arial" w:hAnsi="Arial" w:cs="Arial"/>
          <w:color w:val="000000"/>
          <w:sz w:val="24"/>
          <w:szCs w:val="24"/>
        </w:rPr>
        <w:t>w szkoleniu biorą udział także inne osoby z projektu, które nie są pracownikami tego obiektu.</w:t>
      </w:r>
    </w:p>
    <w:p w14:paraId="09356630" w14:textId="77777777" w:rsidR="005339DB" w:rsidRPr="004C12DB" w:rsidRDefault="005339DB" w:rsidP="004C12DB">
      <w:pPr>
        <w:rPr>
          <w:rFonts w:ascii="Arial" w:hAnsi="Arial" w:cs="Arial"/>
          <w:color w:val="000000"/>
          <w:sz w:val="24"/>
          <w:szCs w:val="24"/>
        </w:rPr>
      </w:pPr>
      <w:r w:rsidRPr="004C12DB">
        <w:rPr>
          <w:rFonts w:ascii="Arial" w:hAnsi="Arial" w:cs="Arial"/>
          <w:color w:val="000000"/>
          <w:sz w:val="24"/>
          <w:szCs w:val="24"/>
        </w:rPr>
        <w:t xml:space="preserve">Należy zwrócić uwagę, iż w ramach niniejszego naboru nie dopuszczamy możliwości realizacji projektów spełniających przesłanki wystąpienia pomocy publicznej i/lub pomocy de </w:t>
      </w:r>
      <w:proofErr w:type="spellStart"/>
      <w:r w:rsidRPr="004C12DB">
        <w:rPr>
          <w:rFonts w:ascii="Arial" w:hAnsi="Arial" w:cs="Arial"/>
          <w:color w:val="000000"/>
          <w:sz w:val="24"/>
          <w:szCs w:val="24"/>
        </w:rPr>
        <w:t>minimis</w:t>
      </w:r>
      <w:proofErr w:type="spellEnd"/>
      <w:r w:rsidRPr="004C12DB">
        <w:rPr>
          <w:rFonts w:ascii="Arial" w:hAnsi="Arial" w:cs="Arial"/>
          <w:color w:val="000000"/>
          <w:sz w:val="24"/>
          <w:szCs w:val="24"/>
        </w:rPr>
        <w:t xml:space="preserve">. Przedstawiony sposób organizacji szkoleń nie gwarantuje, że ww. pomoc nie wystąpi w opisanej sytuacji. Zgodnie z Regulaminem naboru „Do udziału w projekcie możesz zakwalifikować wyłącznie osoby zgłaszające się do niego </w:t>
      </w:r>
      <w:r w:rsidRPr="004C12DB">
        <w:rPr>
          <w:rFonts w:ascii="Arial" w:hAnsi="Arial" w:cs="Arial"/>
          <w:color w:val="000000"/>
          <w:sz w:val="24"/>
          <w:szCs w:val="24"/>
        </w:rPr>
        <w:lastRenderedPageBreak/>
        <w:t xml:space="preserve">z własnej inicjatywy. Wyklucza to możliwość udzielania wsparcia osobom oddelegowanym do projektu przez pracodawcę.”. Aby uniknąć wystąpienia pomocy publicznej/de </w:t>
      </w:r>
      <w:proofErr w:type="spellStart"/>
      <w:r w:rsidRPr="004C12DB">
        <w:rPr>
          <w:rFonts w:ascii="Arial" w:hAnsi="Arial" w:cs="Arial"/>
          <w:color w:val="000000"/>
          <w:sz w:val="24"/>
          <w:szCs w:val="24"/>
        </w:rPr>
        <w:t>minimis</w:t>
      </w:r>
      <w:proofErr w:type="spellEnd"/>
      <w:r w:rsidRPr="004C12DB">
        <w:rPr>
          <w:rFonts w:ascii="Arial" w:hAnsi="Arial" w:cs="Arial"/>
          <w:color w:val="000000"/>
          <w:sz w:val="24"/>
          <w:szCs w:val="24"/>
        </w:rPr>
        <w:t>, uczestnik do projektu przystępuje dobrowolnie i samodzielnie, wsparcie odbywa się poza godzinami jego pracy, a wszystkie podmioty biorące udział w realizacji projektu muszą być niezależne od pracodawcy uczestnika usługi. Jednocześnie szkolenia muszą odbywać się poza miejscem pracy uczestników, a rekrutacja do projektu musi być otwarta dla wszystkich zainteresowanych.</w:t>
      </w:r>
    </w:p>
    <w:p w14:paraId="784E84D3" w14:textId="77777777" w:rsidR="005339DB" w:rsidRPr="005339DB" w:rsidRDefault="005339DB" w:rsidP="004A27D2">
      <w:pPr>
        <w:rPr>
          <w:b/>
          <w:bCs/>
          <w:sz w:val="24"/>
          <w:szCs w:val="24"/>
          <w:u w:val="single"/>
        </w:rPr>
      </w:pPr>
    </w:p>
    <w:sectPr w:rsidR="005339DB" w:rsidRPr="005339DB" w:rsidSect="00737FDC">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CF3AC" w14:textId="77777777" w:rsidR="006E57D0" w:rsidRDefault="006E57D0" w:rsidP="00737FDC">
      <w:r>
        <w:separator/>
      </w:r>
    </w:p>
  </w:endnote>
  <w:endnote w:type="continuationSeparator" w:id="0">
    <w:p w14:paraId="0950531C" w14:textId="77777777" w:rsidR="006E57D0" w:rsidRDefault="006E57D0" w:rsidP="0073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6707" w14:textId="77777777" w:rsidR="006E57D0" w:rsidRDefault="006E57D0" w:rsidP="00737FDC">
      <w:r>
        <w:separator/>
      </w:r>
    </w:p>
  </w:footnote>
  <w:footnote w:type="continuationSeparator" w:id="0">
    <w:p w14:paraId="4BB54011" w14:textId="77777777" w:rsidR="006E57D0" w:rsidRDefault="006E57D0" w:rsidP="0073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E4E9" w14:textId="6EC473CC" w:rsidR="00737FDC" w:rsidRDefault="00737FDC">
    <w:pPr>
      <w:pStyle w:val="Nagwek"/>
    </w:pPr>
    <w:r w:rsidRPr="00AA68BE">
      <w:rPr>
        <w:noProof/>
        <w:lang w:eastAsia="pl-PL"/>
      </w:rPr>
      <w:drawing>
        <wp:anchor distT="0" distB="0" distL="114300" distR="114300" simplePos="0" relativeHeight="251659264" behindDoc="0" locked="0" layoutInCell="1" allowOverlap="1" wp14:anchorId="5B4DB9B6" wp14:editId="26B33240">
          <wp:simplePos x="0" y="0"/>
          <wp:positionH relativeFrom="column">
            <wp:posOffset>-57150</wp:posOffset>
          </wp:positionH>
          <wp:positionV relativeFrom="paragraph">
            <wp:posOffset>-305435</wp:posOffset>
          </wp:positionV>
          <wp:extent cx="5760720" cy="678180"/>
          <wp:effectExtent l="0" t="0" r="0" b="0"/>
          <wp:wrapNone/>
          <wp:docPr id="1" name="Obraz 1" descr="C:\Users\mfalkowska\Desktop\logotypy\zestawienie znaków kolor w pozi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alkowska\Desktop\logotypy\zestawienie znaków kolor w poziomi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781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63A0"/>
    <w:multiLevelType w:val="hybridMultilevel"/>
    <w:tmpl w:val="86F881BA"/>
    <w:lvl w:ilvl="0" w:tplc="DEB2F314">
      <w:start w:val="1"/>
      <w:numFmt w:val="bullet"/>
      <w:lvlText w:val="­"/>
      <w:lvlJc w:val="left"/>
      <w:pPr>
        <w:ind w:left="1004" w:hanging="360"/>
      </w:pPr>
      <w:rPr>
        <w:rFonts w:ascii="Arial" w:hAnsi="Aria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9151620"/>
    <w:multiLevelType w:val="hybridMultilevel"/>
    <w:tmpl w:val="A0C66DAE"/>
    <w:lvl w:ilvl="0" w:tplc="49325A8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6F7A42"/>
    <w:multiLevelType w:val="hybridMultilevel"/>
    <w:tmpl w:val="782CCB9A"/>
    <w:lvl w:ilvl="0" w:tplc="F550C0D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B12A85"/>
    <w:multiLevelType w:val="hybridMultilevel"/>
    <w:tmpl w:val="C71E7F4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3C54246D"/>
    <w:multiLevelType w:val="hybridMultilevel"/>
    <w:tmpl w:val="52389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C20072"/>
    <w:multiLevelType w:val="hybridMultilevel"/>
    <w:tmpl w:val="5D748924"/>
    <w:lvl w:ilvl="0" w:tplc="67CA2F9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464832"/>
    <w:multiLevelType w:val="hybridMultilevel"/>
    <w:tmpl w:val="5D90E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DE87CC7"/>
    <w:multiLevelType w:val="hybridMultilevel"/>
    <w:tmpl w:val="E6029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2D4A02"/>
    <w:multiLevelType w:val="hybridMultilevel"/>
    <w:tmpl w:val="D71E3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9362FD"/>
    <w:multiLevelType w:val="hybridMultilevel"/>
    <w:tmpl w:val="B1B4E9F2"/>
    <w:lvl w:ilvl="0" w:tplc="7C8221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AF45C5"/>
    <w:multiLevelType w:val="hybridMultilevel"/>
    <w:tmpl w:val="C1905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CD2E46"/>
    <w:multiLevelType w:val="hybridMultilevel"/>
    <w:tmpl w:val="F83A79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075DCD"/>
    <w:multiLevelType w:val="hybridMultilevel"/>
    <w:tmpl w:val="884671E2"/>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71703685"/>
    <w:multiLevelType w:val="hybridMultilevel"/>
    <w:tmpl w:val="CDDAA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81E58E8"/>
    <w:multiLevelType w:val="hybridMultilevel"/>
    <w:tmpl w:val="233E68AC"/>
    <w:lvl w:ilvl="0" w:tplc="BD808C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10"/>
  </w:num>
  <w:num w:numId="5">
    <w:abstractNumId w:val="7"/>
  </w:num>
  <w:num w:numId="6">
    <w:abstractNumId w:val="8"/>
  </w:num>
  <w:num w:numId="7">
    <w:abstractNumId w:val="13"/>
  </w:num>
  <w:num w:numId="8">
    <w:abstractNumId w:val="9"/>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2"/>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FA"/>
    <w:rsid w:val="0003651F"/>
    <w:rsid w:val="00070A67"/>
    <w:rsid w:val="00145691"/>
    <w:rsid w:val="001B6FC6"/>
    <w:rsid w:val="001E4D3B"/>
    <w:rsid w:val="0025419D"/>
    <w:rsid w:val="0029722C"/>
    <w:rsid w:val="002B5CEA"/>
    <w:rsid w:val="00305BB4"/>
    <w:rsid w:val="00327367"/>
    <w:rsid w:val="00380697"/>
    <w:rsid w:val="00395F7F"/>
    <w:rsid w:val="003C237F"/>
    <w:rsid w:val="004025BF"/>
    <w:rsid w:val="00405F24"/>
    <w:rsid w:val="00435CAC"/>
    <w:rsid w:val="004A27D2"/>
    <w:rsid w:val="004C12DB"/>
    <w:rsid w:val="005339DB"/>
    <w:rsid w:val="00653E24"/>
    <w:rsid w:val="00671625"/>
    <w:rsid w:val="006E57D0"/>
    <w:rsid w:val="0070289B"/>
    <w:rsid w:val="00727AE1"/>
    <w:rsid w:val="007378AF"/>
    <w:rsid w:val="00737FDC"/>
    <w:rsid w:val="00793B05"/>
    <w:rsid w:val="00865A72"/>
    <w:rsid w:val="00880FB7"/>
    <w:rsid w:val="008E011E"/>
    <w:rsid w:val="00904ABB"/>
    <w:rsid w:val="0092105A"/>
    <w:rsid w:val="00941BFA"/>
    <w:rsid w:val="00997921"/>
    <w:rsid w:val="009C4731"/>
    <w:rsid w:val="009E6323"/>
    <w:rsid w:val="00A85F58"/>
    <w:rsid w:val="00AA182B"/>
    <w:rsid w:val="00AA5406"/>
    <w:rsid w:val="00AA7ECC"/>
    <w:rsid w:val="00AB656F"/>
    <w:rsid w:val="00AE2921"/>
    <w:rsid w:val="00B5703D"/>
    <w:rsid w:val="00D06939"/>
    <w:rsid w:val="00D36C2E"/>
    <w:rsid w:val="00D853CC"/>
    <w:rsid w:val="00DC0C65"/>
    <w:rsid w:val="00DC362B"/>
    <w:rsid w:val="00DD48C2"/>
    <w:rsid w:val="00DF6627"/>
    <w:rsid w:val="00E32D95"/>
    <w:rsid w:val="00E65B39"/>
    <w:rsid w:val="00E81496"/>
    <w:rsid w:val="00E81782"/>
    <w:rsid w:val="00E86FE6"/>
    <w:rsid w:val="00EF619F"/>
    <w:rsid w:val="00F30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EFF5"/>
  <w15:chartTrackingRefBased/>
  <w15:docId w15:val="{6C9630B2-2BB4-4E90-8CD4-4DF596900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1625"/>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uiPriority w:val="99"/>
    <w:unhideWhenUsed/>
    <w:rsid w:val="00671625"/>
  </w:style>
  <w:style w:type="character" w:customStyle="1" w:styleId="ZwykytekstZnak">
    <w:name w:val="Zwykły tekst Znak"/>
    <w:basedOn w:val="Domylnaczcionkaakapitu"/>
    <w:link w:val="Zwykytekst"/>
    <w:uiPriority w:val="99"/>
    <w:rsid w:val="00671625"/>
    <w:rPr>
      <w:rFonts w:ascii="Calibri" w:hAnsi="Calibri" w:cs="Calibri"/>
    </w:rPr>
  </w:style>
  <w:style w:type="character" w:customStyle="1" w:styleId="AkapitzlistZnak">
    <w:name w:val="Akapit z listą Znak"/>
    <w:aliases w:val="Numerowanie Znak,maz_wyliczenie Znak,opis dzialania Znak,K-P_odwolanie Znak,A_wyliczenie Znak,Akapit z listą5CxSpLast Znak,Akapit z listą5 Znak,Tekst punktowanie Znak,BulletC Znak,Akapit z listą 1 Znak,Table of contents numbered Znak"/>
    <w:basedOn w:val="Domylnaczcionkaakapitu"/>
    <w:link w:val="Akapitzlist"/>
    <w:uiPriority w:val="34"/>
    <w:locked/>
    <w:rsid w:val="00671625"/>
    <w:rPr>
      <w:rFonts w:ascii="Arial" w:hAnsi="Arial" w:cs="Arial"/>
    </w:rPr>
  </w:style>
  <w:style w:type="paragraph" w:styleId="Akapitzlist">
    <w:name w:val="List Paragraph"/>
    <w:aliases w:val="Numerowanie,maz_wyliczenie,opis dzialania,K-P_odwolanie,A_wyliczenie,Akapit z listą5CxSpLast,Akapit z listą5,Tekst punktowanie,BulletC,Akapit z listą 1,Table of contents numbered,sw tekst,Kolorowa lista — akcent 11,Akapit z listą BS,b1,L"/>
    <w:basedOn w:val="Normalny"/>
    <w:link w:val="AkapitzlistZnak"/>
    <w:uiPriority w:val="34"/>
    <w:qFormat/>
    <w:rsid w:val="00671625"/>
    <w:pPr>
      <w:spacing w:before="120" w:after="120" w:line="360" w:lineRule="auto"/>
      <w:contextualSpacing/>
    </w:pPr>
    <w:rPr>
      <w:rFonts w:ascii="Arial" w:hAnsi="Arial" w:cs="Arial"/>
    </w:rPr>
  </w:style>
  <w:style w:type="paragraph" w:customStyle="1" w:styleId="Default">
    <w:name w:val="Default"/>
    <w:basedOn w:val="Normalny"/>
    <w:rsid w:val="00671625"/>
    <w:pPr>
      <w:autoSpaceDE w:val="0"/>
      <w:autoSpaceDN w:val="0"/>
    </w:pPr>
    <w:rPr>
      <w:color w:val="000000"/>
      <w:sz w:val="24"/>
      <w:szCs w:val="24"/>
    </w:rPr>
  </w:style>
  <w:style w:type="paragraph" w:styleId="Nagwek">
    <w:name w:val="header"/>
    <w:basedOn w:val="Normalny"/>
    <w:link w:val="NagwekZnak"/>
    <w:uiPriority w:val="99"/>
    <w:unhideWhenUsed/>
    <w:rsid w:val="00737FDC"/>
    <w:pPr>
      <w:tabs>
        <w:tab w:val="center" w:pos="4536"/>
        <w:tab w:val="right" w:pos="9072"/>
      </w:tabs>
    </w:pPr>
  </w:style>
  <w:style w:type="character" w:customStyle="1" w:styleId="NagwekZnak">
    <w:name w:val="Nagłówek Znak"/>
    <w:basedOn w:val="Domylnaczcionkaakapitu"/>
    <w:link w:val="Nagwek"/>
    <w:uiPriority w:val="99"/>
    <w:rsid w:val="00737FDC"/>
    <w:rPr>
      <w:rFonts w:ascii="Calibri" w:hAnsi="Calibri" w:cs="Calibri"/>
    </w:rPr>
  </w:style>
  <w:style w:type="paragraph" w:styleId="Stopka">
    <w:name w:val="footer"/>
    <w:basedOn w:val="Normalny"/>
    <w:link w:val="StopkaZnak"/>
    <w:uiPriority w:val="99"/>
    <w:unhideWhenUsed/>
    <w:rsid w:val="00737FDC"/>
    <w:pPr>
      <w:tabs>
        <w:tab w:val="center" w:pos="4536"/>
        <w:tab w:val="right" w:pos="9072"/>
      </w:tabs>
    </w:pPr>
  </w:style>
  <w:style w:type="character" w:customStyle="1" w:styleId="StopkaZnak">
    <w:name w:val="Stopka Znak"/>
    <w:basedOn w:val="Domylnaczcionkaakapitu"/>
    <w:link w:val="Stopka"/>
    <w:uiPriority w:val="99"/>
    <w:rsid w:val="00737FDC"/>
    <w:rPr>
      <w:rFonts w:ascii="Calibri" w:hAnsi="Calibri" w:cs="Calibri"/>
    </w:rPr>
  </w:style>
  <w:style w:type="paragraph" w:styleId="NormalnyWeb">
    <w:name w:val="Normal (Web)"/>
    <w:basedOn w:val="Normalny"/>
    <w:uiPriority w:val="99"/>
    <w:semiHidden/>
    <w:unhideWhenUsed/>
    <w:rsid w:val="00B5703D"/>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939">
      <w:bodyDiv w:val="1"/>
      <w:marLeft w:val="0"/>
      <w:marRight w:val="0"/>
      <w:marTop w:val="0"/>
      <w:marBottom w:val="0"/>
      <w:divBdr>
        <w:top w:val="none" w:sz="0" w:space="0" w:color="auto"/>
        <w:left w:val="none" w:sz="0" w:space="0" w:color="auto"/>
        <w:bottom w:val="none" w:sz="0" w:space="0" w:color="auto"/>
        <w:right w:val="none" w:sz="0" w:space="0" w:color="auto"/>
      </w:divBdr>
    </w:div>
    <w:div w:id="302855774">
      <w:bodyDiv w:val="1"/>
      <w:marLeft w:val="0"/>
      <w:marRight w:val="0"/>
      <w:marTop w:val="0"/>
      <w:marBottom w:val="0"/>
      <w:divBdr>
        <w:top w:val="none" w:sz="0" w:space="0" w:color="auto"/>
        <w:left w:val="none" w:sz="0" w:space="0" w:color="auto"/>
        <w:bottom w:val="none" w:sz="0" w:space="0" w:color="auto"/>
        <w:right w:val="none" w:sz="0" w:space="0" w:color="auto"/>
      </w:divBdr>
    </w:div>
    <w:div w:id="626395772">
      <w:bodyDiv w:val="1"/>
      <w:marLeft w:val="0"/>
      <w:marRight w:val="0"/>
      <w:marTop w:val="0"/>
      <w:marBottom w:val="0"/>
      <w:divBdr>
        <w:top w:val="none" w:sz="0" w:space="0" w:color="auto"/>
        <w:left w:val="none" w:sz="0" w:space="0" w:color="auto"/>
        <w:bottom w:val="none" w:sz="0" w:space="0" w:color="auto"/>
        <w:right w:val="none" w:sz="0" w:space="0" w:color="auto"/>
      </w:divBdr>
    </w:div>
    <w:div w:id="650252388">
      <w:bodyDiv w:val="1"/>
      <w:marLeft w:val="0"/>
      <w:marRight w:val="0"/>
      <w:marTop w:val="0"/>
      <w:marBottom w:val="0"/>
      <w:divBdr>
        <w:top w:val="none" w:sz="0" w:space="0" w:color="auto"/>
        <w:left w:val="none" w:sz="0" w:space="0" w:color="auto"/>
        <w:bottom w:val="none" w:sz="0" w:space="0" w:color="auto"/>
        <w:right w:val="none" w:sz="0" w:space="0" w:color="auto"/>
      </w:divBdr>
    </w:div>
    <w:div w:id="1162349863">
      <w:bodyDiv w:val="1"/>
      <w:marLeft w:val="0"/>
      <w:marRight w:val="0"/>
      <w:marTop w:val="0"/>
      <w:marBottom w:val="0"/>
      <w:divBdr>
        <w:top w:val="none" w:sz="0" w:space="0" w:color="auto"/>
        <w:left w:val="none" w:sz="0" w:space="0" w:color="auto"/>
        <w:bottom w:val="none" w:sz="0" w:space="0" w:color="auto"/>
        <w:right w:val="none" w:sz="0" w:space="0" w:color="auto"/>
      </w:divBdr>
    </w:div>
    <w:div w:id="1281298367">
      <w:bodyDiv w:val="1"/>
      <w:marLeft w:val="0"/>
      <w:marRight w:val="0"/>
      <w:marTop w:val="0"/>
      <w:marBottom w:val="0"/>
      <w:divBdr>
        <w:top w:val="none" w:sz="0" w:space="0" w:color="auto"/>
        <w:left w:val="none" w:sz="0" w:space="0" w:color="auto"/>
        <w:bottom w:val="none" w:sz="0" w:space="0" w:color="auto"/>
        <w:right w:val="none" w:sz="0" w:space="0" w:color="auto"/>
      </w:divBdr>
    </w:div>
    <w:div w:id="1383404858">
      <w:bodyDiv w:val="1"/>
      <w:marLeft w:val="0"/>
      <w:marRight w:val="0"/>
      <w:marTop w:val="0"/>
      <w:marBottom w:val="0"/>
      <w:divBdr>
        <w:top w:val="none" w:sz="0" w:space="0" w:color="auto"/>
        <w:left w:val="none" w:sz="0" w:space="0" w:color="auto"/>
        <w:bottom w:val="none" w:sz="0" w:space="0" w:color="auto"/>
        <w:right w:val="none" w:sz="0" w:space="0" w:color="auto"/>
      </w:divBdr>
    </w:div>
    <w:div w:id="1588223792">
      <w:bodyDiv w:val="1"/>
      <w:marLeft w:val="0"/>
      <w:marRight w:val="0"/>
      <w:marTop w:val="0"/>
      <w:marBottom w:val="0"/>
      <w:divBdr>
        <w:top w:val="none" w:sz="0" w:space="0" w:color="auto"/>
        <w:left w:val="none" w:sz="0" w:space="0" w:color="auto"/>
        <w:bottom w:val="none" w:sz="0" w:space="0" w:color="auto"/>
        <w:right w:val="none" w:sz="0" w:space="0" w:color="auto"/>
      </w:divBdr>
    </w:div>
    <w:div w:id="18318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1228</Words>
  <Characters>7373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MP. Pałyska</dc:creator>
  <cp:keywords/>
  <dc:description/>
  <cp:lastModifiedBy>Małgorzata MP. Pałyska</cp:lastModifiedBy>
  <cp:revision>43</cp:revision>
  <dcterms:created xsi:type="dcterms:W3CDTF">2026-04-01T08:49:00Z</dcterms:created>
  <dcterms:modified xsi:type="dcterms:W3CDTF">2026-04-21T10:49:00Z</dcterms:modified>
</cp:coreProperties>
</file>