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1876" w:tblpY="1726"/>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0CCF2A15" w14:textId="77777777" w:rsidTr="00D2400C">
        <w:trPr>
          <w:trHeight w:val="257"/>
        </w:trPr>
        <w:tc>
          <w:tcPr>
            <w:tcW w:w="7706" w:type="dxa"/>
            <w:tcMar>
              <w:top w:w="216" w:type="dxa"/>
              <w:left w:w="115" w:type="dxa"/>
              <w:bottom w:w="216" w:type="dxa"/>
              <w:right w:w="115" w:type="dxa"/>
            </w:tcMar>
          </w:tcPr>
          <w:p w14:paraId="28B54D2B" w14:textId="77777777" w:rsidR="004A6516" w:rsidRPr="005F1627" w:rsidRDefault="00666387" w:rsidP="005F1627">
            <w:pPr>
              <w:pStyle w:val="Bezodstpw"/>
              <w:rPr>
                <w:rFonts w:ascii="Arial" w:hAnsi="Arial" w:cs="Arial"/>
                <w:sz w:val="36"/>
                <w:szCs w:val="36"/>
              </w:rPr>
            </w:pPr>
            <w:r w:rsidRPr="005F1627">
              <w:rPr>
                <w:rFonts w:ascii="Arial" w:hAnsi="Arial" w:cs="Arial"/>
                <w:sz w:val="36"/>
                <w:szCs w:val="36"/>
              </w:rPr>
              <w:t>Urząd Marszałkowski Województwa Warmińsko-Mazurskiego w Olsztynie</w:t>
            </w:r>
          </w:p>
          <w:p w14:paraId="4E5E2570" w14:textId="77777777" w:rsidR="009C4FDC" w:rsidRPr="005F1627" w:rsidRDefault="009C4FDC" w:rsidP="005F1627">
            <w:pPr>
              <w:pStyle w:val="Bezodstpw"/>
              <w:rPr>
                <w:rFonts w:ascii="Arial" w:hAnsi="Arial" w:cs="Arial"/>
                <w:sz w:val="36"/>
                <w:szCs w:val="36"/>
              </w:rPr>
            </w:pPr>
          </w:p>
        </w:tc>
      </w:tr>
      <w:tr w:rsidR="004A6516" w:rsidRPr="00737D1D" w14:paraId="583816DC" w14:textId="77777777" w:rsidTr="00D2400C">
        <w:trPr>
          <w:trHeight w:val="1862"/>
        </w:trPr>
        <w:tc>
          <w:tcPr>
            <w:tcW w:w="7706" w:type="dxa"/>
          </w:tcPr>
          <w:p w14:paraId="028E2CCB" w14:textId="77777777" w:rsidR="00A636DD" w:rsidRPr="005F1627" w:rsidRDefault="00666387" w:rsidP="005F1627">
            <w:pPr>
              <w:pStyle w:val="Bezodstpw"/>
              <w:spacing w:line="216" w:lineRule="auto"/>
              <w:rPr>
                <w:rFonts w:ascii="Arial" w:eastAsiaTheme="majorEastAsia" w:hAnsi="Arial" w:cs="Arial"/>
                <w:b/>
                <w:bCs/>
                <w:sz w:val="32"/>
                <w:szCs w:val="32"/>
              </w:rPr>
            </w:pPr>
            <w:r w:rsidRPr="005F1627">
              <w:rPr>
                <w:rFonts w:ascii="Arial" w:eastAsiaTheme="majorEastAsia" w:hAnsi="Arial" w:cs="Arial"/>
                <w:b/>
                <w:bCs/>
                <w:sz w:val="32"/>
                <w:szCs w:val="32"/>
              </w:rPr>
              <w:t>Regulamin wyboru projekt</w:t>
            </w:r>
            <w:r w:rsidR="0084451C" w:rsidRPr="005F1627">
              <w:rPr>
                <w:rFonts w:ascii="Arial" w:eastAsiaTheme="majorEastAsia" w:hAnsi="Arial" w:cs="Arial"/>
                <w:b/>
                <w:bCs/>
                <w:sz w:val="32"/>
                <w:szCs w:val="32"/>
              </w:rPr>
              <w:t>ów</w:t>
            </w:r>
            <w:r w:rsidR="002D04D5" w:rsidRPr="005F1627">
              <w:rPr>
                <w:rFonts w:ascii="Arial" w:eastAsiaTheme="majorEastAsia" w:hAnsi="Arial" w:cs="Arial"/>
                <w:b/>
                <w:bCs/>
                <w:sz w:val="32"/>
                <w:szCs w:val="32"/>
              </w:rPr>
              <w:t xml:space="preserve"> </w:t>
            </w:r>
            <w:r w:rsidR="00A636DD" w:rsidRPr="005F1627">
              <w:rPr>
                <w:rFonts w:ascii="Arial" w:eastAsiaTheme="majorEastAsia" w:hAnsi="Arial" w:cs="Arial"/>
                <w:b/>
                <w:bCs/>
                <w:sz w:val="32"/>
                <w:szCs w:val="32"/>
              </w:rPr>
              <w:t>w sposób niekonkurencyjny</w:t>
            </w:r>
          </w:p>
          <w:p w14:paraId="23590DF6" w14:textId="77777777" w:rsidR="0088616C" w:rsidRPr="005F1627" w:rsidRDefault="0088616C" w:rsidP="005F1627">
            <w:pPr>
              <w:pStyle w:val="Bezodstpw"/>
              <w:spacing w:line="216" w:lineRule="auto"/>
              <w:rPr>
                <w:rFonts w:ascii="Arial" w:eastAsiaTheme="majorEastAsia" w:hAnsi="Arial" w:cs="Arial"/>
                <w:b/>
                <w:bCs/>
                <w:sz w:val="32"/>
                <w:szCs w:val="32"/>
              </w:rPr>
            </w:pPr>
          </w:p>
          <w:p w14:paraId="2A796246" w14:textId="77777777" w:rsidR="002D04D5" w:rsidRPr="005F1627" w:rsidRDefault="002D04D5" w:rsidP="005F1627">
            <w:pPr>
              <w:pStyle w:val="Bezodstpw"/>
              <w:spacing w:line="216" w:lineRule="auto"/>
              <w:rPr>
                <w:rFonts w:ascii="Arial" w:eastAsiaTheme="majorEastAsia" w:hAnsi="Arial" w:cs="Arial"/>
                <w:b/>
                <w:bCs/>
                <w:sz w:val="32"/>
                <w:szCs w:val="32"/>
              </w:rPr>
            </w:pPr>
            <w:r w:rsidRPr="005F1627">
              <w:rPr>
                <w:rFonts w:ascii="Arial" w:eastAsiaTheme="majorEastAsia" w:hAnsi="Arial" w:cs="Arial"/>
                <w:b/>
                <w:bCs/>
                <w:sz w:val="32"/>
                <w:szCs w:val="32"/>
              </w:rPr>
              <w:t>POTRAFIĘ – DECYDUJĘ – DZIAŁAM</w:t>
            </w:r>
          </w:p>
          <w:p w14:paraId="0DBBE1FD" w14:textId="77777777" w:rsidR="0088616C" w:rsidRPr="005F1627" w:rsidRDefault="0088616C" w:rsidP="005F1627">
            <w:pPr>
              <w:pStyle w:val="Bezodstpw"/>
              <w:spacing w:line="216" w:lineRule="auto"/>
              <w:rPr>
                <w:rFonts w:ascii="Arial" w:eastAsiaTheme="majorEastAsia" w:hAnsi="Arial" w:cs="Arial"/>
                <w:b/>
                <w:bCs/>
                <w:sz w:val="32"/>
                <w:szCs w:val="32"/>
              </w:rPr>
            </w:pPr>
          </w:p>
          <w:p w14:paraId="7BD9501E" w14:textId="77777777" w:rsidR="00A85FCF" w:rsidRPr="005F1627" w:rsidRDefault="003E0CFA" w:rsidP="005F1627">
            <w:pPr>
              <w:pStyle w:val="Bezodstpw"/>
              <w:spacing w:line="216" w:lineRule="auto"/>
              <w:rPr>
                <w:rFonts w:ascii="Arial" w:eastAsiaTheme="majorEastAsia" w:hAnsi="Arial" w:cs="Arial"/>
                <w:sz w:val="32"/>
                <w:szCs w:val="32"/>
              </w:rPr>
            </w:pPr>
            <w:r w:rsidRPr="005F1627">
              <w:rPr>
                <w:rFonts w:ascii="Arial" w:eastAsiaTheme="majorEastAsia" w:hAnsi="Arial" w:cs="Arial"/>
                <w:sz w:val="32"/>
                <w:szCs w:val="32"/>
              </w:rPr>
              <w:t>P</w:t>
            </w:r>
            <w:r w:rsidR="002D04D5" w:rsidRPr="005F1627">
              <w:rPr>
                <w:rFonts w:ascii="Arial" w:eastAsiaTheme="majorEastAsia" w:hAnsi="Arial" w:cs="Arial"/>
                <w:sz w:val="32"/>
                <w:szCs w:val="32"/>
              </w:rPr>
              <w:t>rogram wspierania aktywności i inicjatyw młodzieży w województwie warmińsko-mazurskim</w:t>
            </w:r>
            <w:r w:rsidR="002D04D5" w:rsidRPr="005F1627">
              <w:rPr>
                <w:sz w:val="32"/>
                <w:szCs w:val="32"/>
              </w:rPr>
              <w:t xml:space="preserve"> </w:t>
            </w:r>
            <w:r w:rsidR="002D04D5" w:rsidRPr="005F1627">
              <w:rPr>
                <w:rFonts w:ascii="Arial" w:eastAsiaTheme="majorEastAsia" w:hAnsi="Arial" w:cs="Arial"/>
                <w:sz w:val="32"/>
                <w:szCs w:val="32"/>
              </w:rPr>
              <w:t>współfinansowan</w:t>
            </w:r>
            <w:r w:rsidRPr="005F1627">
              <w:rPr>
                <w:rFonts w:ascii="Arial" w:eastAsiaTheme="majorEastAsia" w:hAnsi="Arial" w:cs="Arial"/>
                <w:sz w:val="32"/>
                <w:szCs w:val="32"/>
              </w:rPr>
              <w:t>y</w:t>
            </w:r>
            <w:r w:rsidR="002D04D5" w:rsidRPr="005F1627">
              <w:rPr>
                <w:rFonts w:ascii="Arial" w:eastAsiaTheme="majorEastAsia" w:hAnsi="Arial" w:cs="Arial"/>
                <w:sz w:val="32"/>
                <w:szCs w:val="32"/>
              </w:rPr>
              <w:t xml:space="preserve"> ze środków Europejskiego Funduszu Społecznego+</w:t>
            </w:r>
          </w:p>
          <w:p w14:paraId="5AE38B5A" w14:textId="77777777" w:rsidR="00A85FCF" w:rsidRPr="005F1627" w:rsidRDefault="00666387" w:rsidP="005F1627">
            <w:pPr>
              <w:pStyle w:val="Bezodstpw"/>
              <w:spacing w:line="216" w:lineRule="auto"/>
              <w:rPr>
                <w:rFonts w:ascii="Arial" w:eastAsiaTheme="majorEastAsia" w:hAnsi="Arial" w:cs="Arial"/>
                <w:sz w:val="32"/>
                <w:szCs w:val="32"/>
              </w:rPr>
            </w:pPr>
            <w:r w:rsidRPr="005F1627">
              <w:rPr>
                <w:rFonts w:ascii="Arial" w:eastAsiaTheme="majorEastAsia" w:hAnsi="Arial" w:cs="Arial"/>
                <w:sz w:val="32"/>
                <w:szCs w:val="32"/>
              </w:rPr>
              <w:t>w ramach programu</w:t>
            </w:r>
          </w:p>
          <w:p w14:paraId="6665F0A8" w14:textId="77777777" w:rsidR="004A6516" w:rsidRPr="005F1627" w:rsidRDefault="00666387" w:rsidP="005F1627">
            <w:pPr>
              <w:pStyle w:val="Bezodstpw"/>
              <w:spacing w:line="216" w:lineRule="auto"/>
              <w:rPr>
                <w:rFonts w:ascii="Arial" w:eastAsiaTheme="majorEastAsia" w:hAnsi="Arial" w:cs="Arial"/>
                <w:sz w:val="32"/>
                <w:szCs w:val="32"/>
              </w:rPr>
            </w:pPr>
            <w:r w:rsidRPr="005F1627">
              <w:rPr>
                <w:rFonts w:ascii="Arial" w:eastAsiaTheme="majorEastAsia" w:hAnsi="Arial" w:cs="Arial"/>
                <w:sz w:val="32"/>
                <w:szCs w:val="32"/>
              </w:rPr>
              <w:t>Fundusze Europejskie dla Warmii i Mazur (</w:t>
            </w:r>
            <w:proofErr w:type="spellStart"/>
            <w:r w:rsidRPr="005F1627">
              <w:rPr>
                <w:rFonts w:ascii="Arial" w:eastAsiaTheme="majorEastAsia" w:hAnsi="Arial" w:cs="Arial"/>
                <w:sz w:val="32"/>
                <w:szCs w:val="32"/>
              </w:rPr>
              <w:t>FEWiM</w:t>
            </w:r>
            <w:proofErr w:type="spellEnd"/>
            <w:r w:rsidRPr="005F1627">
              <w:rPr>
                <w:rFonts w:ascii="Arial" w:eastAsiaTheme="majorEastAsia" w:hAnsi="Arial" w:cs="Arial"/>
                <w:sz w:val="32"/>
                <w:szCs w:val="32"/>
              </w:rPr>
              <w:t>) 2021-2027</w:t>
            </w:r>
          </w:p>
          <w:p w14:paraId="6FCE4B9F" w14:textId="77777777" w:rsidR="009C4FDC" w:rsidRPr="005F1627" w:rsidRDefault="009C4FDC" w:rsidP="005F1627">
            <w:pPr>
              <w:pStyle w:val="Bezodstpw"/>
              <w:spacing w:line="216" w:lineRule="auto"/>
              <w:rPr>
                <w:rFonts w:ascii="Arial" w:eastAsiaTheme="majorEastAsia" w:hAnsi="Arial" w:cs="Arial"/>
                <w:sz w:val="32"/>
                <w:szCs w:val="32"/>
              </w:rPr>
            </w:pPr>
          </w:p>
        </w:tc>
      </w:tr>
      <w:tr w:rsidR="004A6516" w:rsidRPr="00737D1D" w14:paraId="141AFA7C" w14:textId="77777777" w:rsidTr="00D2400C">
        <w:trPr>
          <w:trHeight w:val="247"/>
        </w:trPr>
        <w:tc>
          <w:tcPr>
            <w:tcW w:w="7706" w:type="dxa"/>
            <w:tcMar>
              <w:top w:w="216" w:type="dxa"/>
              <w:left w:w="115" w:type="dxa"/>
              <w:bottom w:w="216" w:type="dxa"/>
              <w:right w:w="115" w:type="dxa"/>
            </w:tcMar>
          </w:tcPr>
          <w:p w14:paraId="7AD1D8C0" w14:textId="77777777" w:rsidR="004A6516" w:rsidRPr="005F1627" w:rsidRDefault="004A6516" w:rsidP="005F1627">
            <w:pPr>
              <w:pStyle w:val="Bezodstpw"/>
              <w:rPr>
                <w:rFonts w:ascii="Arial" w:hAnsi="Arial" w:cs="Arial"/>
                <w:bCs/>
                <w:sz w:val="26"/>
                <w:szCs w:val="26"/>
              </w:rPr>
            </w:pPr>
            <w:r w:rsidRPr="005F1627">
              <w:rPr>
                <w:rFonts w:ascii="Arial" w:hAnsi="Arial" w:cs="Arial"/>
                <w:b/>
                <w:sz w:val="26"/>
                <w:szCs w:val="26"/>
              </w:rPr>
              <w:t xml:space="preserve">Priorytet 6: </w:t>
            </w:r>
            <w:r w:rsidRPr="005F1627">
              <w:rPr>
                <w:rFonts w:ascii="Arial" w:hAnsi="Arial" w:cs="Arial"/>
                <w:bCs/>
                <w:sz w:val="26"/>
                <w:szCs w:val="26"/>
              </w:rPr>
              <w:t>Edukacja i kompetencje EFS+</w:t>
            </w:r>
          </w:p>
          <w:p w14:paraId="5F752DFE" w14:textId="77777777" w:rsidR="009C4FDC" w:rsidRPr="005F1627" w:rsidRDefault="009C4FDC" w:rsidP="005F1627">
            <w:pPr>
              <w:pStyle w:val="Bezodstpw"/>
              <w:rPr>
                <w:rFonts w:ascii="Arial" w:hAnsi="Arial" w:cs="Arial"/>
                <w:sz w:val="26"/>
                <w:szCs w:val="26"/>
              </w:rPr>
            </w:pPr>
            <w:r w:rsidRPr="005F1627">
              <w:rPr>
                <w:rFonts w:ascii="Arial" w:hAnsi="Arial" w:cs="Arial"/>
                <w:b/>
                <w:bCs/>
                <w:sz w:val="26"/>
                <w:szCs w:val="26"/>
              </w:rPr>
              <w:t>Działanie 6.</w:t>
            </w:r>
            <w:r w:rsidR="002D04D5" w:rsidRPr="005F1627">
              <w:rPr>
                <w:rFonts w:ascii="Arial" w:hAnsi="Arial" w:cs="Arial"/>
                <w:b/>
                <w:bCs/>
                <w:sz w:val="26"/>
                <w:szCs w:val="26"/>
              </w:rPr>
              <w:t>3</w:t>
            </w:r>
            <w:r w:rsidRPr="005F1627">
              <w:rPr>
                <w:rFonts w:ascii="Arial" w:hAnsi="Arial" w:cs="Arial"/>
                <w:b/>
                <w:bCs/>
                <w:sz w:val="26"/>
                <w:szCs w:val="26"/>
              </w:rPr>
              <w:t>:</w:t>
            </w:r>
            <w:r w:rsidRPr="005F1627">
              <w:rPr>
                <w:rFonts w:ascii="Arial" w:hAnsi="Arial" w:cs="Arial"/>
                <w:sz w:val="26"/>
                <w:szCs w:val="26"/>
              </w:rPr>
              <w:t xml:space="preserve"> Edukacja </w:t>
            </w:r>
            <w:r w:rsidR="002D04D5" w:rsidRPr="005F1627">
              <w:rPr>
                <w:rFonts w:ascii="Arial" w:hAnsi="Arial" w:cs="Arial"/>
                <w:sz w:val="26"/>
                <w:szCs w:val="26"/>
              </w:rPr>
              <w:t>ogólnokształcąca</w:t>
            </w:r>
          </w:p>
          <w:p w14:paraId="2D724703" w14:textId="77777777" w:rsidR="004A6516" w:rsidRPr="005F1627" w:rsidRDefault="004A6516" w:rsidP="005F1627">
            <w:pPr>
              <w:spacing w:line="240" w:lineRule="auto"/>
              <w:rPr>
                <w:rFonts w:cs="Arial"/>
                <w:lang w:eastAsia="pl-PL"/>
              </w:rPr>
            </w:pPr>
            <w:r w:rsidRPr="005F1627">
              <w:rPr>
                <w:rFonts w:cs="Arial"/>
                <w:b/>
                <w:sz w:val="26"/>
                <w:szCs w:val="26"/>
              </w:rPr>
              <w:t>Cel szczegółowy</w:t>
            </w:r>
            <w:r w:rsidR="00E4540E" w:rsidRPr="005F1627">
              <w:rPr>
                <w:rFonts w:cs="Arial"/>
                <w:b/>
                <w:sz w:val="26"/>
                <w:szCs w:val="26"/>
              </w:rPr>
              <w:t xml:space="preserve"> </w:t>
            </w:r>
            <w:r w:rsidR="00964179" w:rsidRPr="005F1627">
              <w:rPr>
                <w:rFonts w:cs="Arial"/>
                <w:b/>
                <w:sz w:val="26"/>
                <w:szCs w:val="26"/>
              </w:rPr>
              <w:t>f</w:t>
            </w:r>
            <w:r w:rsidR="00E4540E" w:rsidRPr="005F1627">
              <w:rPr>
                <w:rFonts w:cs="Arial"/>
                <w:b/>
                <w:sz w:val="26"/>
                <w:szCs w:val="26"/>
              </w:rPr>
              <w:t>:</w:t>
            </w:r>
            <w:r w:rsidR="009C4FDC" w:rsidRPr="005F1627">
              <w:rPr>
                <w:rFonts w:cs="Arial"/>
                <w:b/>
                <w:sz w:val="26"/>
                <w:szCs w:val="26"/>
              </w:rPr>
              <w:t xml:space="preserve"> </w:t>
            </w:r>
            <w:r w:rsidR="00E4540E" w:rsidRPr="005F1627">
              <w:rPr>
                <w:rFonts w:cs="Arial"/>
                <w:bCs/>
                <w:sz w:val="26"/>
                <w:szCs w:val="26"/>
              </w:rPr>
              <w:t>Wspieranie równego dostępu do</w:t>
            </w:r>
            <w:r w:rsidR="00520FDC" w:rsidRPr="005F1627">
              <w:rPr>
                <w:rFonts w:cs="Arial"/>
                <w:bCs/>
                <w:sz w:val="26"/>
                <w:szCs w:val="26"/>
              </w:rPr>
              <w:t> </w:t>
            </w:r>
            <w:r w:rsidR="00E4540E" w:rsidRPr="005F1627">
              <w:rPr>
                <w:rFonts w:cs="Arial"/>
                <w:bCs/>
                <w:sz w:val="26"/>
                <w:szCs w:val="26"/>
              </w:rPr>
              <w:t>dobrej jakości, włączającego kształcenia i szkolenia oraz możliwości ich ukończenia, w szczególności w</w:t>
            </w:r>
            <w:r w:rsidR="00520FDC" w:rsidRPr="005F1627">
              <w:rPr>
                <w:rFonts w:cs="Arial"/>
                <w:bCs/>
                <w:sz w:val="26"/>
                <w:szCs w:val="26"/>
              </w:rPr>
              <w:t> </w:t>
            </w:r>
            <w:r w:rsidR="00E4540E" w:rsidRPr="005F1627">
              <w:rPr>
                <w:rFonts w:cs="Arial"/>
                <w:bCs/>
                <w:sz w:val="26"/>
                <w:szCs w:val="26"/>
              </w:rPr>
              <w:t>odniesieniu do grup w niekorzystnej sytuacji, od</w:t>
            </w:r>
            <w:r w:rsidR="00520FDC" w:rsidRPr="005F1627">
              <w:rPr>
                <w:rFonts w:cs="Arial"/>
                <w:bCs/>
                <w:sz w:val="26"/>
                <w:szCs w:val="26"/>
              </w:rPr>
              <w:t> </w:t>
            </w:r>
            <w:r w:rsidR="00E4540E" w:rsidRPr="005F1627">
              <w:rPr>
                <w:rFonts w:cs="Arial"/>
                <w:bCs/>
                <w:sz w:val="26"/>
                <w:szCs w:val="26"/>
              </w:rPr>
              <w:t>wczesnej edukacji i</w:t>
            </w:r>
            <w:r w:rsidR="00E06418" w:rsidRPr="005F1627">
              <w:rPr>
                <w:rFonts w:cs="Arial"/>
                <w:bCs/>
                <w:sz w:val="26"/>
                <w:szCs w:val="26"/>
              </w:rPr>
              <w:t> </w:t>
            </w:r>
            <w:r w:rsidR="00E4540E" w:rsidRPr="005F1627">
              <w:rPr>
                <w:rFonts w:cs="Arial"/>
                <w:bCs/>
                <w:sz w:val="26"/>
                <w:szCs w:val="26"/>
              </w:rPr>
              <w:t>opieki nad dzieckiem przez ogólne i zawodowe kształcenie i szkolenie, po</w:t>
            </w:r>
            <w:r w:rsidR="00520FDC" w:rsidRPr="005F1627">
              <w:rPr>
                <w:rFonts w:cs="Arial"/>
                <w:bCs/>
                <w:sz w:val="26"/>
                <w:szCs w:val="26"/>
              </w:rPr>
              <w:t> </w:t>
            </w:r>
            <w:r w:rsidR="00E4540E" w:rsidRPr="005F1627">
              <w:rPr>
                <w:rFonts w:cs="Arial"/>
                <w:bCs/>
                <w:sz w:val="26"/>
                <w:szCs w:val="26"/>
              </w:rPr>
              <w:t>szkolnictwo wyższe, a także kształcenie i</w:t>
            </w:r>
            <w:r w:rsidR="00E06418" w:rsidRPr="005F1627">
              <w:rPr>
                <w:rFonts w:cs="Arial"/>
                <w:bCs/>
                <w:sz w:val="26"/>
                <w:szCs w:val="26"/>
              </w:rPr>
              <w:t> </w:t>
            </w:r>
            <w:r w:rsidR="00E4540E" w:rsidRPr="005F1627">
              <w:rPr>
                <w:rFonts w:cs="Arial"/>
                <w:bCs/>
                <w:sz w:val="26"/>
                <w:szCs w:val="26"/>
              </w:rPr>
              <w:t>uczenie się dorosłych, w tym ułatwianie mobilności edukacyjnej dla</w:t>
            </w:r>
            <w:r w:rsidR="00520FDC" w:rsidRPr="005F1627">
              <w:rPr>
                <w:rFonts w:cs="Arial"/>
                <w:bCs/>
                <w:sz w:val="26"/>
                <w:szCs w:val="26"/>
              </w:rPr>
              <w:t> </w:t>
            </w:r>
            <w:r w:rsidR="00E4540E" w:rsidRPr="005F1627">
              <w:rPr>
                <w:rFonts w:cs="Arial"/>
                <w:bCs/>
                <w:sz w:val="26"/>
                <w:szCs w:val="26"/>
              </w:rPr>
              <w:t>wszystkich i dostępności dla osób z</w:t>
            </w:r>
            <w:r w:rsidR="00520FDC" w:rsidRPr="005F1627">
              <w:rPr>
                <w:rFonts w:cs="Arial"/>
                <w:bCs/>
                <w:sz w:val="26"/>
                <w:szCs w:val="26"/>
              </w:rPr>
              <w:t> </w:t>
            </w:r>
            <w:r w:rsidR="00E4540E" w:rsidRPr="005F1627">
              <w:rPr>
                <w:rFonts w:cs="Arial"/>
                <w:bCs/>
                <w:sz w:val="26"/>
                <w:szCs w:val="26"/>
              </w:rPr>
              <w:t>niepełnosprawnościami</w:t>
            </w:r>
          </w:p>
        </w:tc>
      </w:tr>
      <w:tr w:rsidR="004A6516" w:rsidRPr="00737D1D" w14:paraId="36698390" w14:textId="77777777" w:rsidTr="00D2400C">
        <w:trPr>
          <w:trHeight w:val="247"/>
        </w:trPr>
        <w:tc>
          <w:tcPr>
            <w:tcW w:w="7706" w:type="dxa"/>
            <w:tcMar>
              <w:top w:w="216" w:type="dxa"/>
              <w:left w:w="115" w:type="dxa"/>
              <w:bottom w:w="216" w:type="dxa"/>
              <w:right w:w="115" w:type="dxa"/>
            </w:tcMar>
          </w:tcPr>
          <w:p w14:paraId="6A0829F5" w14:textId="77777777" w:rsidR="003E0CFA" w:rsidRPr="005F1627" w:rsidRDefault="003E0CFA" w:rsidP="005F1627">
            <w:pPr>
              <w:pStyle w:val="Nagwek"/>
              <w:tabs>
                <w:tab w:val="left" w:pos="180"/>
                <w:tab w:val="left" w:pos="360"/>
              </w:tabs>
              <w:spacing w:after="0"/>
              <w:jc w:val="left"/>
              <w:rPr>
                <w:rFonts w:ascii="Arial" w:hAnsi="Arial" w:cs="Arial"/>
                <w:b/>
                <w:sz w:val="28"/>
                <w:szCs w:val="28"/>
              </w:rPr>
            </w:pPr>
            <w:r w:rsidRPr="005F1627">
              <w:rPr>
                <w:rFonts w:ascii="Arial" w:hAnsi="Arial" w:cs="Arial"/>
                <w:b/>
                <w:sz w:val="28"/>
                <w:szCs w:val="28"/>
              </w:rPr>
              <w:t>Nabór nr FEWM.06.03-IZ.00-001/23</w:t>
            </w:r>
          </w:p>
          <w:p w14:paraId="563E7DB6" w14:textId="77777777" w:rsidR="004A6516" w:rsidRPr="005F1627" w:rsidRDefault="004A6516" w:rsidP="005F1627">
            <w:pPr>
              <w:pStyle w:val="Bezodstpw"/>
              <w:rPr>
                <w:rFonts w:ascii="Arial" w:hAnsi="Arial" w:cs="Arial"/>
                <w:b/>
                <w:sz w:val="28"/>
                <w:szCs w:val="28"/>
              </w:rPr>
            </w:pPr>
          </w:p>
        </w:tc>
      </w:tr>
      <w:tr w:rsidR="004A6516" w:rsidRPr="00737D1D" w14:paraId="6CCB2E1B" w14:textId="77777777" w:rsidTr="00D2400C">
        <w:trPr>
          <w:trHeight w:val="247"/>
        </w:trPr>
        <w:tc>
          <w:tcPr>
            <w:tcW w:w="7706" w:type="dxa"/>
            <w:tcMar>
              <w:top w:w="216" w:type="dxa"/>
              <w:left w:w="115" w:type="dxa"/>
              <w:bottom w:w="216" w:type="dxa"/>
              <w:right w:w="115" w:type="dxa"/>
            </w:tcMar>
          </w:tcPr>
          <w:p w14:paraId="08E8F9FE" w14:textId="77777777" w:rsidR="004A6516" w:rsidRPr="00737D1D" w:rsidRDefault="004A6516" w:rsidP="00D2400C">
            <w:pPr>
              <w:pStyle w:val="Bezodstpw"/>
              <w:rPr>
                <w:rFonts w:ascii="Arial" w:hAnsi="Arial" w:cs="Arial"/>
                <w:b/>
                <w:sz w:val="28"/>
                <w:szCs w:val="28"/>
              </w:rPr>
            </w:pPr>
          </w:p>
        </w:tc>
      </w:tr>
      <w:tr w:rsidR="004A6516" w:rsidRPr="00737D1D" w14:paraId="367B1F27" w14:textId="77777777" w:rsidTr="00D2400C">
        <w:trPr>
          <w:trHeight w:val="247"/>
        </w:trPr>
        <w:tc>
          <w:tcPr>
            <w:tcW w:w="7706" w:type="dxa"/>
            <w:tcMar>
              <w:top w:w="216" w:type="dxa"/>
              <w:left w:w="115" w:type="dxa"/>
              <w:bottom w:w="216" w:type="dxa"/>
              <w:right w:w="115" w:type="dxa"/>
            </w:tcMar>
          </w:tcPr>
          <w:p w14:paraId="49B4C1C9" w14:textId="77777777" w:rsidR="004A6516" w:rsidRPr="00737D1D" w:rsidRDefault="004A6516" w:rsidP="00D2400C">
            <w:pPr>
              <w:pStyle w:val="Bezodstpw"/>
              <w:rPr>
                <w:rFonts w:ascii="Arial" w:hAnsi="Arial" w:cs="Arial"/>
                <w:b/>
                <w:sz w:val="28"/>
                <w:szCs w:val="28"/>
              </w:rPr>
            </w:pPr>
          </w:p>
        </w:tc>
      </w:tr>
      <w:tr w:rsidR="004A6516" w:rsidRPr="00737D1D" w14:paraId="00DB6D0E" w14:textId="77777777" w:rsidTr="00D2400C">
        <w:trPr>
          <w:trHeight w:val="4"/>
        </w:trPr>
        <w:tc>
          <w:tcPr>
            <w:tcW w:w="7706" w:type="dxa"/>
            <w:tcMar>
              <w:top w:w="216" w:type="dxa"/>
              <w:left w:w="115" w:type="dxa"/>
              <w:bottom w:w="216" w:type="dxa"/>
              <w:right w:w="115" w:type="dxa"/>
            </w:tcMar>
          </w:tcPr>
          <w:p w14:paraId="2C66DA8F" w14:textId="77777777" w:rsidR="004A6516" w:rsidRPr="00737D1D" w:rsidRDefault="004A6516" w:rsidP="00D2400C">
            <w:pPr>
              <w:pStyle w:val="Bezodstpw"/>
              <w:rPr>
                <w:rFonts w:ascii="Arial" w:hAnsi="Arial" w:cs="Arial"/>
                <w:b/>
                <w:sz w:val="28"/>
                <w:szCs w:val="28"/>
              </w:rPr>
            </w:pPr>
          </w:p>
        </w:tc>
      </w:tr>
    </w:tbl>
    <w:p w14:paraId="7CF36209" w14:textId="4EE09ECA" w:rsidR="004A6516" w:rsidRPr="00737D1D" w:rsidRDefault="004A6516" w:rsidP="001C3CAC">
      <w:pPr>
        <w:rPr>
          <w:rFonts w:cs="Arial"/>
        </w:rPr>
      </w:pPr>
      <w:r w:rsidRPr="00737D1D">
        <w:rPr>
          <w:rFonts w:cs="Arial"/>
        </w:rPr>
        <w:t xml:space="preserve"> </w:t>
      </w:r>
    </w:p>
    <w:p w14:paraId="2004FD11" w14:textId="77777777" w:rsidR="008B342E" w:rsidRPr="00737D1D" w:rsidRDefault="008B342E" w:rsidP="001C3CAC">
      <w:pPr>
        <w:rPr>
          <w:rFonts w:cs="Arial"/>
        </w:rPr>
      </w:pPr>
    </w:p>
    <w:p w14:paraId="7A6D35B0" w14:textId="77777777" w:rsidR="008B342E" w:rsidRPr="00737D1D" w:rsidRDefault="008B342E" w:rsidP="001C3CAC">
      <w:pPr>
        <w:rPr>
          <w:rFonts w:cs="Arial"/>
        </w:rPr>
      </w:pPr>
    </w:p>
    <w:p w14:paraId="4AB189D6" w14:textId="77777777" w:rsidR="008B342E" w:rsidRPr="00737D1D" w:rsidRDefault="008B342E" w:rsidP="001C3CAC">
      <w:pPr>
        <w:rPr>
          <w:rFonts w:cs="Arial"/>
        </w:rPr>
      </w:pPr>
    </w:p>
    <w:sdt>
      <w:sdtPr>
        <w:rPr>
          <w:rFonts w:cs="Arial"/>
        </w:rPr>
        <w:id w:val="-77140692"/>
        <w:docPartObj>
          <w:docPartGallery w:val="Cover Pages"/>
          <w:docPartUnique/>
        </w:docPartObj>
      </w:sdtPr>
      <w:sdtEndPr>
        <w:rPr>
          <w:b/>
          <w:sz w:val="28"/>
          <w:szCs w:val="28"/>
        </w:rPr>
      </w:sdtEndPr>
      <w:sdtContent>
        <w:p w14:paraId="1801BBF9" w14:textId="77777777" w:rsidR="004A6516" w:rsidRPr="00737D1D" w:rsidRDefault="004A6516" w:rsidP="001C3CAC">
          <w:pPr>
            <w:rPr>
              <w:rFonts w:cs="Arial"/>
            </w:rPr>
          </w:pPr>
        </w:p>
        <w:p w14:paraId="2C614B6E" w14:textId="77777777" w:rsidR="004A6516" w:rsidRPr="00737D1D" w:rsidRDefault="004A6516" w:rsidP="001C3CAC">
          <w:pPr>
            <w:rPr>
              <w:rFonts w:eastAsia="Calibri" w:cs="Arial"/>
              <w:b/>
              <w:sz w:val="28"/>
              <w:szCs w:val="28"/>
            </w:rPr>
          </w:pPr>
          <w:r w:rsidRPr="00737D1D">
            <w:rPr>
              <w:rFonts w:cs="Arial"/>
              <w:b/>
              <w:sz w:val="28"/>
              <w:szCs w:val="28"/>
            </w:rPr>
            <w:br w:type="page"/>
          </w:r>
        </w:p>
      </w:sdtContent>
    </w:sdt>
    <w:p w14:paraId="2B9794BA" w14:textId="77777777" w:rsidR="00AC1DF7" w:rsidRDefault="00AC1DF7" w:rsidP="001C3CAC">
      <w:pPr>
        <w:pStyle w:val="Spistreci1"/>
        <w:tabs>
          <w:tab w:val="right" w:leader="dot" w:pos="9062"/>
        </w:tabs>
        <w:rPr>
          <w:rFonts w:cs="Arial"/>
          <w:b w:val="0"/>
          <w:sz w:val="24"/>
          <w:szCs w:val="24"/>
        </w:rPr>
      </w:pPr>
      <w:r>
        <w:rPr>
          <w:rFonts w:cs="Arial"/>
          <w:b w:val="0"/>
          <w:sz w:val="24"/>
          <w:szCs w:val="24"/>
        </w:rPr>
        <w:lastRenderedPageBreak/>
        <w:t>Spis treści:</w:t>
      </w:r>
    </w:p>
    <w:p w14:paraId="71316E45" w14:textId="77777777" w:rsidR="00B27CA9" w:rsidRDefault="00B27CA9" w:rsidP="001C3CAC">
      <w:pPr>
        <w:pStyle w:val="Spistreci1"/>
        <w:tabs>
          <w:tab w:val="right" w:leader="dot" w:pos="9062"/>
        </w:tabs>
        <w:rPr>
          <w:rFonts w:cs="Arial"/>
          <w:b w:val="0"/>
          <w:sz w:val="24"/>
          <w:szCs w:val="24"/>
        </w:rPr>
      </w:pPr>
    </w:p>
    <w:p w14:paraId="106050F2" w14:textId="3A254959" w:rsidR="00426B17" w:rsidRDefault="00165326">
      <w:pPr>
        <w:pStyle w:val="Spistreci1"/>
        <w:tabs>
          <w:tab w:val="right" w:leader="dot" w:pos="9062"/>
        </w:tabs>
        <w:rPr>
          <w:rFonts w:asciiTheme="minorHAnsi" w:eastAsiaTheme="minorEastAsia" w:hAnsiTheme="minorHAnsi"/>
          <w:b w:val="0"/>
          <w:noProof/>
          <w:lang w:eastAsia="pl-PL"/>
        </w:rPr>
      </w:pPr>
      <w:r>
        <w:rPr>
          <w:rFonts w:cs="Arial"/>
          <w:b w:val="0"/>
          <w:sz w:val="24"/>
          <w:szCs w:val="24"/>
        </w:rPr>
        <w:fldChar w:fldCharType="begin"/>
      </w:r>
      <w:r w:rsidR="00CE2BB0">
        <w:rPr>
          <w:rFonts w:cs="Arial"/>
          <w:b w:val="0"/>
          <w:sz w:val="24"/>
          <w:szCs w:val="24"/>
        </w:rPr>
        <w:instrText xml:space="preserve"> TOC \h \z \t "Rozdział-K;1;Podrozdział-K;2" </w:instrText>
      </w:r>
      <w:r>
        <w:rPr>
          <w:rFonts w:cs="Arial"/>
          <w:b w:val="0"/>
          <w:sz w:val="24"/>
          <w:szCs w:val="24"/>
        </w:rPr>
        <w:fldChar w:fldCharType="separate"/>
      </w:r>
      <w:hyperlink w:anchor="_Toc137810475" w:history="1">
        <w:r w:rsidR="00426B17" w:rsidRPr="00326F2E">
          <w:rPr>
            <w:rStyle w:val="Hipercze"/>
            <w:noProof/>
          </w:rPr>
          <w:t>Słownik skrótów i pojęć</w:t>
        </w:r>
        <w:r w:rsidR="00426B17">
          <w:rPr>
            <w:noProof/>
            <w:webHidden/>
          </w:rPr>
          <w:tab/>
        </w:r>
        <w:r>
          <w:rPr>
            <w:noProof/>
            <w:webHidden/>
          </w:rPr>
          <w:fldChar w:fldCharType="begin"/>
        </w:r>
        <w:r w:rsidR="00426B17">
          <w:rPr>
            <w:noProof/>
            <w:webHidden/>
          </w:rPr>
          <w:instrText xml:space="preserve"> PAGEREF _Toc137810475 \h </w:instrText>
        </w:r>
        <w:r>
          <w:rPr>
            <w:noProof/>
            <w:webHidden/>
          </w:rPr>
        </w:r>
        <w:r>
          <w:rPr>
            <w:noProof/>
            <w:webHidden/>
          </w:rPr>
          <w:fldChar w:fldCharType="separate"/>
        </w:r>
        <w:r w:rsidR="007D3A8A">
          <w:rPr>
            <w:noProof/>
            <w:webHidden/>
          </w:rPr>
          <w:t>4</w:t>
        </w:r>
        <w:r>
          <w:rPr>
            <w:noProof/>
            <w:webHidden/>
          </w:rPr>
          <w:fldChar w:fldCharType="end"/>
        </w:r>
      </w:hyperlink>
    </w:p>
    <w:p w14:paraId="5A0DFB66" w14:textId="1D4E26BE"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476" w:history="1">
        <w:r w:rsidR="00426B17" w:rsidRPr="00326F2E">
          <w:rPr>
            <w:rStyle w:val="Hipercze"/>
            <w:noProof/>
          </w:rPr>
          <w:t>1.</w:t>
        </w:r>
        <w:r w:rsidR="00426B17">
          <w:rPr>
            <w:rFonts w:asciiTheme="minorHAnsi" w:eastAsiaTheme="minorEastAsia" w:hAnsiTheme="minorHAnsi"/>
            <w:b w:val="0"/>
            <w:noProof/>
            <w:lang w:eastAsia="pl-PL"/>
          </w:rPr>
          <w:tab/>
        </w:r>
        <w:r w:rsidR="00426B17" w:rsidRPr="00326F2E">
          <w:rPr>
            <w:rStyle w:val="Hipercze"/>
            <w:noProof/>
          </w:rPr>
          <w:t>Informacje ogólne</w:t>
        </w:r>
        <w:r w:rsidR="00426B17">
          <w:rPr>
            <w:noProof/>
            <w:webHidden/>
          </w:rPr>
          <w:tab/>
        </w:r>
        <w:r w:rsidR="00165326">
          <w:rPr>
            <w:noProof/>
            <w:webHidden/>
          </w:rPr>
          <w:fldChar w:fldCharType="begin"/>
        </w:r>
        <w:r w:rsidR="00426B17">
          <w:rPr>
            <w:noProof/>
            <w:webHidden/>
          </w:rPr>
          <w:instrText xml:space="preserve"> PAGEREF _Toc137810476 \h </w:instrText>
        </w:r>
        <w:r w:rsidR="00165326">
          <w:rPr>
            <w:noProof/>
            <w:webHidden/>
          </w:rPr>
        </w:r>
        <w:r w:rsidR="00165326">
          <w:rPr>
            <w:noProof/>
            <w:webHidden/>
          </w:rPr>
          <w:fldChar w:fldCharType="separate"/>
        </w:r>
        <w:r w:rsidR="007D3A8A">
          <w:rPr>
            <w:noProof/>
            <w:webHidden/>
          </w:rPr>
          <w:t>5</w:t>
        </w:r>
        <w:r w:rsidR="00165326">
          <w:rPr>
            <w:noProof/>
            <w:webHidden/>
          </w:rPr>
          <w:fldChar w:fldCharType="end"/>
        </w:r>
      </w:hyperlink>
    </w:p>
    <w:p w14:paraId="65726DB1" w14:textId="1CEE21C1" w:rsidR="00426B17" w:rsidRDefault="005A0414">
      <w:pPr>
        <w:pStyle w:val="Spistreci2"/>
        <w:rPr>
          <w:rFonts w:asciiTheme="minorHAnsi" w:eastAsiaTheme="minorEastAsia" w:hAnsiTheme="minorHAnsi"/>
          <w:noProof/>
          <w:lang w:eastAsia="pl-PL"/>
        </w:rPr>
      </w:pPr>
      <w:hyperlink w:anchor="_Toc137810477" w:history="1">
        <w:r w:rsidR="00426B17" w:rsidRPr="00326F2E">
          <w:rPr>
            <w:rStyle w:val="Hipercze"/>
            <w:noProof/>
          </w:rPr>
          <w:t>1.1.</w:t>
        </w:r>
        <w:r w:rsidR="00426B17">
          <w:rPr>
            <w:rFonts w:asciiTheme="minorHAnsi" w:eastAsiaTheme="minorEastAsia" w:hAnsiTheme="minorHAnsi"/>
            <w:noProof/>
            <w:lang w:eastAsia="pl-PL"/>
          </w:rPr>
          <w:tab/>
        </w:r>
        <w:r w:rsidR="00426B17" w:rsidRPr="00326F2E">
          <w:rPr>
            <w:rStyle w:val="Hipercze"/>
            <w:noProof/>
          </w:rPr>
          <w:t>Regulamin wyboru projektów</w:t>
        </w:r>
        <w:r w:rsidR="00426B17">
          <w:rPr>
            <w:noProof/>
            <w:webHidden/>
          </w:rPr>
          <w:tab/>
        </w:r>
        <w:r w:rsidR="00165326">
          <w:rPr>
            <w:noProof/>
            <w:webHidden/>
          </w:rPr>
          <w:fldChar w:fldCharType="begin"/>
        </w:r>
        <w:r w:rsidR="00426B17">
          <w:rPr>
            <w:noProof/>
            <w:webHidden/>
          </w:rPr>
          <w:instrText xml:space="preserve"> PAGEREF _Toc137810477 \h </w:instrText>
        </w:r>
        <w:r w:rsidR="00165326">
          <w:rPr>
            <w:noProof/>
            <w:webHidden/>
          </w:rPr>
        </w:r>
        <w:r w:rsidR="00165326">
          <w:rPr>
            <w:noProof/>
            <w:webHidden/>
          </w:rPr>
          <w:fldChar w:fldCharType="separate"/>
        </w:r>
        <w:r w:rsidR="007D3A8A">
          <w:rPr>
            <w:noProof/>
            <w:webHidden/>
          </w:rPr>
          <w:t>5</w:t>
        </w:r>
        <w:r w:rsidR="00165326">
          <w:rPr>
            <w:noProof/>
            <w:webHidden/>
          </w:rPr>
          <w:fldChar w:fldCharType="end"/>
        </w:r>
      </w:hyperlink>
    </w:p>
    <w:p w14:paraId="71E6FFE1" w14:textId="7AD0DD58" w:rsidR="00426B17" w:rsidRDefault="005A0414">
      <w:pPr>
        <w:pStyle w:val="Spistreci2"/>
        <w:rPr>
          <w:rFonts w:asciiTheme="minorHAnsi" w:eastAsiaTheme="minorEastAsia" w:hAnsiTheme="minorHAnsi"/>
          <w:noProof/>
          <w:lang w:eastAsia="pl-PL"/>
        </w:rPr>
      </w:pPr>
      <w:hyperlink w:anchor="_Toc137810478" w:history="1">
        <w:r w:rsidR="00426B17" w:rsidRPr="00326F2E">
          <w:rPr>
            <w:rStyle w:val="Hipercze"/>
            <w:noProof/>
          </w:rPr>
          <w:t>1.2.</w:t>
        </w:r>
        <w:r w:rsidR="00426B17">
          <w:rPr>
            <w:rFonts w:asciiTheme="minorHAnsi" w:eastAsiaTheme="minorEastAsia" w:hAnsiTheme="minorHAnsi"/>
            <w:noProof/>
            <w:lang w:eastAsia="pl-PL"/>
          </w:rPr>
          <w:tab/>
        </w:r>
        <w:r w:rsidR="00426B17" w:rsidRPr="00326F2E">
          <w:rPr>
            <w:rStyle w:val="Hipercze"/>
            <w:noProof/>
          </w:rPr>
          <w:t>Podstawa prawna i dokumenty programowe</w:t>
        </w:r>
        <w:r w:rsidR="00426B17">
          <w:rPr>
            <w:noProof/>
            <w:webHidden/>
          </w:rPr>
          <w:tab/>
        </w:r>
        <w:r w:rsidR="00165326">
          <w:rPr>
            <w:noProof/>
            <w:webHidden/>
          </w:rPr>
          <w:fldChar w:fldCharType="begin"/>
        </w:r>
        <w:r w:rsidR="00426B17">
          <w:rPr>
            <w:noProof/>
            <w:webHidden/>
          </w:rPr>
          <w:instrText xml:space="preserve"> PAGEREF _Toc137810478 \h </w:instrText>
        </w:r>
        <w:r w:rsidR="00165326">
          <w:rPr>
            <w:noProof/>
            <w:webHidden/>
          </w:rPr>
        </w:r>
        <w:r w:rsidR="00165326">
          <w:rPr>
            <w:noProof/>
            <w:webHidden/>
          </w:rPr>
          <w:fldChar w:fldCharType="separate"/>
        </w:r>
        <w:r w:rsidR="007D3A8A">
          <w:rPr>
            <w:noProof/>
            <w:webHidden/>
          </w:rPr>
          <w:t>5</w:t>
        </w:r>
        <w:r w:rsidR="00165326">
          <w:rPr>
            <w:noProof/>
            <w:webHidden/>
          </w:rPr>
          <w:fldChar w:fldCharType="end"/>
        </w:r>
      </w:hyperlink>
    </w:p>
    <w:p w14:paraId="45F3601C" w14:textId="73F55D13" w:rsidR="00426B17" w:rsidRDefault="005A0414">
      <w:pPr>
        <w:pStyle w:val="Spistreci2"/>
        <w:rPr>
          <w:rFonts w:asciiTheme="minorHAnsi" w:eastAsiaTheme="minorEastAsia" w:hAnsiTheme="minorHAnsi"/>
          <w:noProof/>
          <w:lang w:eastAsia="pl-PL"/>
        </w:rPr>
      </w:pPr>
      <w:hyperlink w:anchor="_Toc137810479" w:history="1">
        <w:r w:rsidR="00426B17" w:rsidRPr="00326F2E">
          <w:rPr>
            <w:rStyle w:val="Hipercze"/>
            <w:noProof/>
          </w:rPr>
          <w:t>1.3.</w:t>
        </w:r>
        <w:r w:rsidR="00426B17">
          <w:rPr>
            <w:rFonts w:asciiTheme="minorHAnsi" w:eastAsiaTheme="minorEastAsia" w:hAnsiTheme="minorHAnsi"/>
            <w:noProof/>
            <w:lang w:eastAsia="pl-PL"/>
          </w:rPr>
          <w:tab/>
        </w:r>
        <w:r w:rsidR="00426B17" w:rsidRPr="00326F2E">
          <w:rPr>
            <w:rStyle w:val="Hipercze"/>
            <w:noProof/>
          </w:rPr>
          <w:t>Cel i przedmiot naboru</w:t>
        </w:r>
        <w:r w:rsidR="00426B17">
          <w:rPr>
            <w:noProof/>
            <w:webHidden/>
          </w:rPr>
          <w:tab/>
        </w:r>
        <w:r w:rsidR="00165326">
          <w:rPr>
            <w:noProof/>
            <w:webHidden/>
          </w:rPr>
          <w:fldChar w:fldCharType="begin"/>
        </w:r>
        <w:r w:rsidR="00426B17">
          <w:rPr>
            <w:noProof/>
            <w:webHidden/>
          </w:rPr>
          <w:instrText xml:space="preserve"> PAGEREF _Toc137810479 \h </w:instrText>
        </w:r>
        <w:r w:rsidR="00165326">
          <w:rPr>
            <w:noProof/>
            <w:webHidden/>
          </w:rPr>
        </w:r>
        <w:r w:rsidR="00165326">
          <w:rPr>
            <w:noProof/>
            <w:webHidden/>
          </w:rPr>
          <w:fldChar w:fldCharType="separate"/>
        </w:r>
        <w:r w:rsidR="007D3A8A">
          <w:rPr>
            <w:noProof/>
            <w:webHidden/>
          </w:rPr>
          <w:t>10</w:t>
        </w:r>
        <w:r w:rsidR="00165326">
          <w:rPr>
            <w:noProof/>
            <w:webHidden/>
          </w:rPr>
          <w:fldChar w:fldCharType="end"/>
        </w:r>
      </w:hyperlink>
    </w:p>
    <w:p w14:paraId="24BAF84D" w14:textId="3D01CA89" w:rsidR="00426B17" w:rsidRDefault="005A0414">
      <w:pPr>
        <w:pStyle w:val="Spistreci2"/>
        <w:rPr>
          <w:rFonts w:asciiTheme="minorHAnsi" w:eastAsiaTheme="minorEastAsia" w:hAnsiTheme="minorHAnsi"/>
          <w:noProof/>
          <w:lang w:eastAsia="pl-PL"/>
        </w:rPr>
      </w:pPr>
      <w:hyperlink w:anchor="_Toc137810480" w:history="1">
        <w:r w:rsidR="00426B17" w:rsidRPr="00326F2E">
          <w:rPr>
            <w:rStyle w:val="Hipercze"/>
            <w:noProof/>
          </w:rPr>
          <w:t>1.4.</w:t>
        </w:r>
        <w:r w:rsidR="00426B17">
          <w:rPr>
            <w:rFonts w:asciiTheme="minorHAnsi" w:eastAsiaTheme="minorEastAsia" w:hAnsiTheme="minorHAnsi"/>
            <w:noProof/>
            <w:lang w:eastAsia="pl-PL"/>
          </w:rPr>
          <w:tab/>
        </w:r>
        <w:r w:rsidR="00426B17" w:rsidRPr="00326F2E">
          <w:rPr>
            <w:rStyle w:val="Hipercze"/>
            <w:noProof/>
          </w:rPr>
          <w:t>Kwota przeznaczona na nabór i podstawowe zasady udzielania dofinansowania</w:t>
        </w:r>
        <w:r w:rsidR="00426B17">
          <w:rPr>
            <w:noProof/>
            <w:webHidden/>
          </w:rPr>
          <w:tab/>
        </w:r>
        <w:r w:rsidR="00426B17">
          <w:rPr>
            <w:noProof/>
            <w:webHidden/>
          </w:rPr>
          <w:tab/>
        </w:r>
        <w:r w:rsidR="00426B17">
          <w:rPr>
            <w:noProof/>
            <w:webHidden/>
          </w:rPr>
          <w:tab/>
        </w:r>
        <w:r w:rsidR="00165326">
          <w:rPr>
            <w:noProof/>
            <w:webHidden/>
          </w:rPr>
          <w:fldChar w:fldCharType="begin"/>
        </w:r>
        <w:r w:rsidR="00426B17">
          <w:rPr>
            <w:noProof/>
            <w:webHidden/>
          </w:rPr>
          <w:instrText xml:space="preserve"> PAGEREF _Toc137810480 \h </w:instrText>
        </w:r>
        <w:r w:rsidR="00165326">
          <w:rPr>
            <w:noProof/>
            <w:webHidden/>
          </w:rPr>
        </w:r>
        <w:r w:rsidR="00165326">
          <w:rPr>
            <w:noProof/>
            <w:webHidden/>
          </w:rPr>
          <w:fldChar w:fldCharType="separate"/>
        </w:r>
        <w:r w:rsidR="007D3A8A">
          <w:rPr>
            <w:noProof/>
            <w:webHidden/>
          </w:rPr>
          <w:t>11</w:t>
        </w:r>
        <w:r w:rsidR="00165326">
          <w:rPr>
            <w:noProof/>
            <w:webHidden/>
          </w:rPr>
          <w:fldChar w:fldCharType="end"/>
        </w:r>
      </w:hyperlink>
    </w:p>
    <w:p w14:paraId="33D46B8E" w14:textId="05A0FF4A" w:rsidR="00426B17" w:rsidRDefault="005A0414">
      <w:pPr>
        <w:pStyle w:val="Spistreci2"/>
        <w:rPr>
          <w:rFonts w:asciiTheme="minorHAnsi" w:eastAsiaTheme="minorEastAsia" w:hAnsiTheme="minorHAnsi"/>
          <w:noProof/>
          <w:lang w:eastAsia="pl-PL"/>
        </w:rPr>
      </w:pPr>
      <w:hyperlink w:anchor="_Toc137810481" w:history="1">
        <w:r w:rsidR="00426B17" w:rsidRPr="00326F2E">
          <w:rPr>
            <w:rStyle w:val="Hipercze"/>
            <w:noProof/>
          </w:rPr>
          <w:t>1.5.</w:t>
        </w:r>
        <w:r w:rsidR="00426B17">
          <w:rPr>
            <w:rFonts w:asciiTheme="minorHAnsi" w:eastAsiaTheme="minorEastAsia" w:hAnsiTheme="minorHAnsi"/>
            <w:noProof/>
            <w:lang w:eastAsia="pl-PL"/>
          </w:rPr>
          <w:tab/>
        </w:r>
        <w:r w:rsidR="00426B17" w:rsidRPr="00326F2E">
          <w:rPr>
            <w:rStyle w:val="Hipercze"/>
            <w:noProof/>
          </w:rPr>
          <w:t>Udzielanie informacji i sposób komunikacji między wnioskodawcą a ION</w:t>
        </w:r>
        <w:r w:rsidR="00426B17">
          <w:rPr>
            <w:noProof/>
            <w:webHidden/>
          </w:rPr>
          <w:tab/>
        </w:r>
        <w:r w:rsidR="00165326">
          <w:rPr>
            <w:noProof/>
            <w:webHidden/>
          </w:rPr>
          <w:fldChar w:fldCharType="begin"/>
        </w:r>
        <w:r w:rsidR="00426B17">
          <w:rPr>
            <w:noProof/>
            <w:webHidden/>
          </w:rPr>
          <w:instrText xml:space="preserve"> PAGEREF _Toc137810481 \h </w:instrText>
        </w:r>
        <w:r w:rsidR="00165326">
          <w:rPr>
            <w:noProof/>
            <w:webHidden/>
          </w:rPr>
        </w:r>
        <w:r w:rsidR="00165326">
          <w:rPr>
            <w:noProof/>
            <w:webHidden/>
          </w:rPr>
          <w:fldChar w:fldCharType="separate"/>
        </w:r>
        <w:r w:rsidR="007D3A8A">
          <w:rPr>
            <w:noProof/>
            <w:webHidden/>
          </w:rPr>
          <w:t>11</w:t>
        </w:r>
        <w:r w:rsidR="00165326">
          <w:rPr>
            <w:noProof/>
            <w:webHidden/>
          </w:rPr>
          <w:fldChar w:fldCharType="end"/>
        </w:r>
      </w:hyperlink>
    </w:p>
    <w:p w14:paraId="772EE84C" w14:textId="533305C2"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482" w:history="1">
        <w:r w:rsidR="00426B17" w:rsidRPr="00326F2E">
          <w:rPr>
            <w:rStyle w:val="Hipercze"/>
            <w:noProof/>
          </w:rPr>
          <w:t>2.</w:t>
        </w:r>
        <w:r w:rsidR="00426B17">
          <w:rPr>
            <w:rFonts w:asciiTheme="minorHAnsi" w:eastAsiaTheme="minorEastAsia" w:hAnsiTheme="minorHAnsi"/>
            <w:b w:val="0"/>
            <w:noProof/>
            <w:lang w:eastAsia="pl-PL"/>
          </w:rPr>
          <w:tab/>
        </w:r>
        <w:r w:rsidR="00426B17" w:rsidRPr="00326F2E">
          <w:rPr>
            <w:rStyle w:val="Hipercze"/>
            <w:noProof/>
          </w:rPr>
          <w:t>Składanie wniosku o dofinansowanie projektu</w:t>
        </w:r>
        <w:r w:rsidR="00426B17">
          <w:rPr>
            <w:noProof/>
            <w:webHidden/>
          </w:rPr>
          <w:tab/>
        </w:r>
        <w:r w:rsidR="00165326">
          <w:rPr>
            <w:noProof/>
            <w:webHidden/>
          </w:rPr>
          <w:fldChar w:fldCharType="begin"/>
        </w:r>
        <w:r w:rsidR="00426B17">
          <w:rPr>
            <w:noProof/>
            <w:webHidden/>
          </w:rPr>
          <w:instrText xml:space="preserve"> PAGEREF _Toc137810482 \h </w:instrText>
        </w:r>
        <w:r w:rsidR="00165326">
          <w:rPr>
            <w:noProof/>
            <w:webHidden/>
          </w:rPr>
        </w:r>
        <w:r w:rsidR="00165326">
          <w:rPr>
            <w:noProof/>
            <w:webHidden/>
          </w:rPr>
          <w:fldChar w:fldCharType="separate"/>
        </w:r>
        <w:r w:rsidR="007D3A8A">
          <w:rPr>
            <w:noProof/>
            <w:webHidden/>
          </w:rPr>
          <w:t>12</w:t>
        </w:r>
        <w:r w:rsidR="00165326">
          <w:rPr>
            <w:noProof/>
            <w:webHidden/>
          </w:rPr>
          <w:fldChar w:fldCharType="end"/>
        </w:r>
      </w:hyperlink>
    </w:p>
    <w:p w14:paraId="5D9290E9" w14:textId="50B3BFA1" w:rsidR="00426B17" w:rsidRDefault="005A0414">
      <w:pPr>
        <w:pStyle w:val="Spistreci2"/>
        <w:rPr>
          <w:rFonts w:asciiTheme="minorHAnsi" w:eastAsiaTheme="minorEastAsia" w:hAnsiTheme="minorHAnsi"/>
          <w:noProof/>
          <w:lang w:eastAsia="pl-PL"/>
        </w:rPr>
      </w:pPr>
      <w:hyperlink w:anchor="_Toc137810483" w:history="1">
        <w:r w:rsidR="00426B17" w:rsidRPr="00326F2E">
          <w:rPr>
            <w:rStyle w:val="Hipercze"/>
            <w:noProof/>
          </w:rPr>
          <w:t>2.1.</w:t>
        </w:r>
        <w:r w:rsidR="00426B17">
          <w:rPr>
            <w:rFonts w:asciiTheme="minorHAnsi" w:eastAsiaTheme="minorEastAsia" w:hAnsiTheme="minorHAnsi"/>
            <w:noProof/>
            <w:lang w:eastAsia="pl-PL"/>
          </w:rPr>
          <w:tab/>
        </w:r>
        <w:r w:rsidR="00426B17" w:rsidRPr="00326F2E">
          <w:rPr>
            <w:rStyle w:val="Hipercze"/>
            <w:noProof/>
          </w:rPr>
          <w:t>Formularz wniosku o dofinansowanie</w:t>
        </w:r>
        <w:r w:rsidR="00426B17">
          <w:rPr>
            <w:noProof/>
            <w:webHidden/>
          </w:rPr>
          <w:tab/>
        </w:r>
        <w:r w:rsidR="00165326">
          <w:rPr>
            <w:noProof/>
            <w:webHidden/>
          </w:rPr>
          <w:fldChar w:fldCharType="begin"/>
        </w:r>
        <w:r w:rsidR="00426B17">
          <w:rPr>
            <w:noProof/>
            <w:webHidden/>
          </w:rPr>
          <w:instrText xml:space="preserve"> PAGEREF _Toc137810483 \h </w:instrText>
        </w:r>
        <w:r w:rsidR="00165326">
          <w:rPr>
            <w:noProof/>
            <w:webHidden/>
          </w:rPr>
        </w:r>
        <w:r w:rsidR="00165326">
          <w:rPr>
            <w:noProof/>
            <w:webHidden/>
          </w:rPr>
          <w:fldChar w:fldCharType="separate"/>
        </w:r>
        <w:r w:rsidR="007D3A8A">
          <w:rPr>
            <w:noProof/>
            <w:webHidden/>
          </w:rPr>
          <w:t>12</w:t>
        </w:r>
        <w:r w:rsidR="00165326">
          <w:rPr>
            <w:noProof/>
            <w:webHidden/>
          </w:rPr>
          <w:fldChar w:fldCharType="end"/>
        </w:r>
      </w:hyperlink>
    </w:p>
    <w:p w14:paraId="5ACE2AA9" w14:textId="7279EA73" w:rsidR="00426B17" w:rsidRDefault="005A0414">
      <w:pPr>
        <w:pStyle w:val="Spistreci2"/>
        <w:rPr>
          <w:rFonts w:asciiTheme="minorHAnsi" w:eastAsiaTheme="minorEastAsia" w:hAnsiTheme="minorHAnsi"/>
          <w:noProof/>
          <w:lang w:eastAsia="pl-PL"/>
        </w:rPr>
      </w:pPr>
      <w:hyperlink w:anchor="_Toc137810484" w:history="1">
        <w:r w:rsidR="00426B17" w:rsidRPr="00326F2E">
          <w:rPr>
            <w:rStyle w:val="Hipercze"/>
            <w:noProof/>
          </w:rPr>
          <w:t>2.2.</w:t>
        </w:r>
        <w:r w:rsidR="00426B17">
          <w:rPr>
            <w:rFonts w:asciiTheme="minorHAnsi" w:eastAsiaTheme="minorEastAsia" w:hAnsiTheme="minorHAnsi"/>
            <w:noProof/>
            <w:lang w:eastAsia="pl-PL"/>
          </w:rPr>
          <w:tab/>
        </w:r>
        <w:r w:rsidR="00426B17" w:rsidRPr="00326F2E">
          <w:rPr>
            <w:rStyle w:val="Hipercze"/>
            <w:noProof/>
          </w:rPr>
          <w:t>Termin i forma składania wniosku o dofinansowanie</w:t>
        </w:r>
        <w:r w:rsidR="00426B17">
          <w:rPr>
            <w:noProof/>
            <w:webHidden/>
          </w:rPr>
          <w:tab/>
        </w:r>
        <w:r w:rsidR="00165326">
          <w:rPr>
            <w:noProof/>
            <w:webHidden/>
          </w:rPr>
          <w:fldChar w:fldCharType="begin"/>
        </w:r>
        <w:r w:rsidR="00426B17">
          <w:rPr>
            <w:noProof/>
            <w:webHidden/>
          </w:rPr>
          <w:instrText xml:space="preserve"> PAGEREF _Toc137810484 \h </w:instrText>
        </w:r>
        <w:r w:rsidR="00165326">
          <w:rPr>
            <w:noProof/>
            <w:webHidden/>
          </w:rPr>
        </w:r>
        <w:r w:rsidR="00165326">
          <w:rPr>
            <w:noProof/>
            <w:webHidden/>
          </w:rPr>
          <w:fldChar w:fldCharType="separate"/>
        </w:r>
        <w:r w:rsidR="007D3A8A">
          <w:rPr>
            <w:noProof/>
            <w:webHidden/>
          </w:rPr>
          <w:t>12</w:t>
        </w:r>
        <w:r w:rsidR="00165326">
          <w:rPr>
            <w:noProof/>
            <w:webHidden/>
          </w:rPr>
          <w:fldChar w:fldCharType="end"/>
        </w:r>
      </w:hyperlink>
    </w:p>
    <w:p w14:paraId="32478470" w14:textId="7DACC603"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485" w:history="1">
        <w:r w:rsidR="00426B17" w:rsidRPr="00326F2E">
          <w:rPr>
            <w:rStyle w:val="Hipercze"/>
            <w:noProof/>
          </w:rPr>
          <w:t>3.</w:t>
        </w:r>
        <w:r w:rsidR="00426B17">
          <w:rPr>
            <w:rFonts w:asciiTheme="minorHAnsi" w:eastAsiaTheme="minorEastAsia" w:hAnsiTheme="minorHAnsi"/>
            <w:b w:val="0"/>
            <w:noProof/>
            <w:lang w:eastAsia="pl-PL"/>
          </w:rPr>
          <w:tab/>
        </w:r>
        <w:r w:rsidR="00426B17" w:rsidRPr="00326F2E">
          <w:rPr>
            <w:rStyle w:val="Hipercze"/>
            <w:noProof/>
          </w:rPr>
          <w:t>Wymagania dotyczące projektu</w:t>
        </w:r>
        <w:r w:rsidR="00426B17">
          <w:rPr>
            <w:noProof/>
            <w:webHidden/>
          </w:rPr>
          <w:tab/>
        </w:r>
        <w:r w:rsidR="00165326">
          <w:rPr>
            <w:noProof/>
            <w:webHidden/>
          </w:rPr>
          <w:fldChar w:fldCharType="begin"/>
        </w:r>
        <w:r w:rsidR="00426B17">
          <w:rPr>
            <w:noProof/>
            <w:webHidden/>
          </w:rPr>
          <w:instrText xml:space="preserve"> PAGEREF _Toc137810485 \h </w:instrText>
        </w:r>
        <w:r w:rsidR="00165326">
          <w:rPr>
            <w:noProof/>
            <w:webHidden/>
          </w:rPr>
        </w:r>
        <w:r w:rsidR="00165326">
          <w:rPr>
            <w:noProof/>
            <w:webHidden/>
          </w:rPr>
          <w:fldChar w:fldCharType="separate"/>
        </w:r>
        <w:r w:rsidR="007D3A8A">
          <w:rPr>
            <w:noProof/>
            <w:webHidden/>
          </w:rPr>
          <w:t>13</w:t>
        </w:r>
        <w:r w:rsidR="00165326">
          <w:rPr>
            <w:noProof/>
            <w:webHidden/>
          </w:rPr>
          <w:fldChar w:fldCharType="end"/>
        </w:r>
      </w:hyperlink>
    </w:p>
    <w:p w14:paraId="7CB09DDE" w14:textId="3430AAFA" w:rsidR="00426B17" w:rsidRDefault="005A0414">
      <w:pPr>
        <w:pStyle w:val="Spistreci2"/>
        <w:rPr>
          <w:rFonts w:asciiTheme="minorHAnsi" w:eastAsiaTheme="minorEastAsia" w:hAnsiTheme="minorHAnsi"/>
          <w:noProof/>
          <w:lang w:eastAsia="pl-PL"/>
        </w:rPr>
      </w:pPr>
      <w:hyperlink w:anchor="_Toc137810486" w:history="1">
        <w:r w:rsidR="00426B17" w:rsidRPr="00326F2E">
          <w:rPr>
            <w:rStyle w:val="Hipercze"/>
            <w:noProof/>
          </w:rPr>
          <w:t>3.1.</w:t>
        </w:r>
        <w:r w:rsidR="00426B17">
          <w:rPr>
            <w:rFonts w:asciiTheme="minorHAnsi" w:eastAsiaTheme="minorEastAsia" w:hAnsiTheme="minorHAnsi"/>
            <w:noProof/>
            <w:lang w:eastAsia="pl-PL"/>
          </w:rPr>
          <w:tab/>
        </w:r>
        <w:r w:rsidR="00426B17" w:rsidRPr="00326F2E">
          <w:rPr>
            <w:rStyle w:val="Hipercze"/>
            <w:noProof/>
          </w:rPr>
          <w:t>Podmioty uprawnione do ubiegania się o dofinansowanie (Wnioskodawca)</w:t>
        </w:r>
        <w:r w:rsidR="00426B17">
          <w:rPr>
            <w:noProof/>
            <w:webHidden/>
          </w:rPr>
          <w:tab/>
        </w:r>
        <w:r w:rsidR="00165326">
          <w:rPr>
            <w:noProof/>
            <w:webHidden/>
          </w:rPr>
          <w:fldChar w:fldCharType="begin"/>
        </w:r>
        <w:r w:rsidR="00426B17">
          <w:rPr>
            <w:noProof/>
            <w:webHidden/>
          </w:rPr>
          <w:instrText xml:space="preserve"> PAGEREF _Toc137810486 \h </w:instrText>
        </w:r>
        <w:r w:rsidR="00165326">
          <w:rPr>
            <w:noProof/>
            <w:webHidden/>
          </w:rPr>
        </w:r>
        <w:r w:rsidR="00165326">
          <w:rPr>
            <w:noProof/>
            <w:webHidden/>
          </w:rPr>
          <w:fldChar w:fldCharType="separate"/>
        </w:r>
        <w:r w:rsidR="007D3A8A">
          <w:rPr>
            <w:noProof/>
            <w:webHidden/>
          </w:rPr>
          <w:t>13</w:t>
        </w:r>
        <w:r w:rsidR="00165326">
          <w:rPr>
            <w:noProof/>
            <w:webHidden/>
          </w:rPr>
          <w:fldChar w:fldCharType="end"/>
        </w:r>
      </w:hyperlink>
    </w:p>
    <w:p w14:paraId="1EA53E0B" w14:textId="6F3A843E" w:rsidR="00426B17" w:rsidRDefault="005A0414">
      <w:pPr>
        <w:pStyle w:val="Spistreci2"/>
        <w:rPr>
          <w:rFonts w:asciiTheme="minorHAnsi" w:eastAsiaTheme="minorEastAsia" w:hAnsiTheme="minorHAnsi"/>
          <w:noProof/>
          <w:lang w:eastAsia="pl-PL"/>
        </w:rPr>
      </w:pPr>
      <w:hyperlink w:anchor="_Toc137810487" w:history="1">
        <w:r w:rsidR="00426B17" w:rsidRPr="00326F2E">
          <w:rPr>
            <w:rStyle w:val="Hipercze"/>
            <w:noProof/>
          </w:rPr>
          <w:t>3.2.</w:t>
        </w:r>
        <w:r w:rsidR="00426B17">
          <w:rPr>
            <w:rFonts w:asciiTheme="minorHAnsi" w:eastAsiaTheme="minorEastAsia" w:hAnsiTheme="minorHAnsi"/>
            <w:noProof/>
            <w:lang w:eastAsia="pl-PL"/>
          </w:rPr>
          <w:tab/>
        </w:r>
        <w:r w:rsidR="00426B17" w:rsidRPr="00326F2E">
          <w:rPr>
            <w:rStyle w:val="Hipercze"/>
            <w:noProof/>
          </w:rPr>
          <w:t>Okres realizacji projektu</w:t>
        </w:r>
        <w:r w:rsidR="00426B17">
          <w:rPr>
            <w:noProof/>
            <w:webHidden/>
          </w:rPr>
          <w:tab/>
        </w:r>
        <w:r w:rsidR="00165326">
          <w:rPr>
            <w:noProof/>
            <w:webHidden/>
          </w:rPr>
          <w:fldChar w:fldCharType="begin"/>
        </w:r>
        <w:r w:rsidR="00426B17">
          <w:rPr>
            <w:noProof/>
            <w:webHidden/>
          </w:rPr>
          <w:instrText xml:space="preserve"> PAGEREF _Toc137810487 \h </w:instrText>
        </w:r>
        <w:r w:rsidR="00165326">
          <w:rPr>
            <w:noProof/>
            <w:webHidden/>
          </w:rPr>
        </w:r>
        <w:r w:rsidR="00165326">
          <w:rPr>
            <w:noProof/>
            <w:webHidden/>
          </w:rPr>
          <w:fldChar w:fldCharType="separate"/>
        </w:r>
        <w:r w:rsidR="007D3A8A">
          <w:rPr>
            <w:noProof/>
            <w:webHidden/>
          </w:rPr>
          <w:t>1</w:t>
        </w:r>
        <w:r w:rsidR="007D3A8A">
          <w:rPr>
            <w:noProof/>
            <w:webHidden/>
          </w:rPr>
          <w:t>3</w:t>
        </w:r>
        <w:r w:rsidR="00165326">
          <w:rPr>
            <w:noProof/>
            <w:webHidden/>
          </w:rPr>
          <w:fldChar w:fldCharType="end"/>
        </w:r>
      </w:hyperlink>
    </w:p>
    <w:p w14:paraId="4449F128" w14:textId="47044C4D" w:rsidR="00426B17" w:rsidRDefault="005A0414">
      <w:pPr>
        <w:pStyle w:val="Spistreci2"/>
        <w:rPr>
          <w:rFonts w:asciiTheme="minorHAnsi" w:eastAsiaTheme="minorEastAsia" w:hAnsiTheme="minorHAnsi"/>
          <w:noProof/>
          <w:lang w:eastAsia="pl-PL"/>
        </w:rPr>
      </w:pPr>
      <w:hyperlink w:anchor="_Toc137810488" w:history="1">
        <w:r w:rsidR="00426B17" w:rsidRPr="00326F2E">
          <w:rPr>
            <w:rStyle w:val="Hipercze"/>
            <w:noProof/>
          </w:rPr>
          <w:t>3.3.</w:t>
        </w:r>
        <w:r w:rsidR="00426B17">
          <w:rPr>
            <w:rFonts w:asciiTheme="minorHAnsi" w:eastAsiaTheme="minorEastAsia" w:hAnsiTheme="minorHAnsi"/>
            <w:noProof/>
            <w:lang w:eastAsia="pl-PL"/>
          </w:rPr>
          <w:tab/>
        </w:r>
        <w:r w:rsidR="00426B17" w:rsidRPr="00326F2E">
          <w:rPr>
            <w:rStyle w:val="Hipercze"/>
            <w:noProof/>
          </w:rPr>
          <w:t>Grupa docelowa</w:t>
        </w:r>
        <w:r w:rsidR="00426B17">
          <w:rPr>
            <w:noProof/>
            <w:webHidden/>
          </w:rPr>
          <w:tab/>
        </w:r>
        <w:r w:rsidR="00165326">
          <w:rPr>
            <w:noProof/>
            <w:webHidden/>
          </w:rPr>
          <w:fldChar w:fldCharType="begin"/>
        </w:r>
        <w:r w:rsidR="00426B17">
          <w:rPr>
            <w:noProof/>
            <w:webHidden/>
          </w:rPr>
          <w:instrText xml:space="preserve"> PAGEREF _Toc137810488 \h </w:instrText>
        </w:r>
        <w:r w:rsidR="00165326">
          <w:rPr>
            <w:noProof/>
            <w:webHidden/>
          </w:rPr>
        </w:r>
        <w:r w:rsidR="00165326">
          <w:rPr>
            <w:noProof/>
            <w:webHidden/>
          </w:rPr>
          <w:fldChar w:fldCharType="separate"/>
        </w:r>
        <w:r w:rsidR="007D3A8A">
          <w:rPr>
            <w:noProof/>
            <w:webHidden/>
          </w:rPr>
          <w:t>13</w:t>
        </w:r>
        <w:r w:rsidR="00165326">
          <w:rPr>
            <w:noProof/>
            <w:webHidden/>
          </w:rPr>
          <w:fldChar w:fldCharType="end"/>
        </w:r>
      </w:hyperlink>
    </w:p>
    <w:p w14:paraId="63B5581B" w14:textId="0BE0851B" w:rsidR="00426B17" w:rsidRDefault="005A0414">
      <w:pPr>
        <w:pStyle w:val="Spistreci2"/>
        <w:rPr>
          <w:rFonts w:asciiTheme="minorHAnsi" w:eastAsiaTheme="minorEastAsia" w:hAnsiTheme="minorHAnsi"/>
          <w:noProof/>
          <w:lang w:eastAsia="pl-PL"/>
        </w:rPr>
      </w:pPr>
      <w:hyperlink w:anchor="_Toc137810489" w:history="1">
        <w:r w:rsidR="00426B17" w:rsidRPr="00326F2E">
          <w:rPr>
            <w:rStyle w:val="Hipercze"/>
            <w:noProof/>
          </w:rPr>
          <w:t>3.4.</w:t>
        </w:r>
        <w:r w:rsidR="00426B17">
          <w:rPr>
            <w:rFonts w:asciiTheme="minorHAnsi" w:eastAsiaTheme="minorEastAsia" w:hAnsiTheme="minorHAnsi"/>
            <w:noProof/>
            <w:lang w:eastAsia="pl-PL"/>
          </w:rPr>
          <w:tab/>
        </w:r>
        <w:r w:rsidR="00426B17" w:rsidRPr="00326F2E">
          <w:rPr>
            <w:rStyle w:val="Hipercze"/>
            <w:noProof/>
          </w:rPr>
          <w:t>Wskaźniki do osiągnięcia</w:t>
        </w:r>
        <w:r w:rsidR="00426B17">
          <w:rPr>
            <w:noProof/>
            <w:webHidden/>
          </w:rPr>
          <w:tab/>
        </w:r>
        <w:r w:rsidR="00165326">
          <w:rPr>
            <w:noProof/>
            <w:webHidden/>
          </w:rPr>
          <w:fldChar w:fldCharType="begin"/>
        </w:r>
        <w:r w:rsidR="00426B17">
          <w:rPr>
            <w:noProof/>
            <w:webHidden/>
          </w:rPr>
          <w:instrText xml:space="preserve"> PAGEREF _Toc137810489 \h </w:instrText>
        </w:r>
        <w:r w:rsidR="00165326">
          <w:rPr>
            <w:noProof/>
            <w:webHidden/>
          </w:rPr>
        </w:r>
        <w:r w:rsidR="00165326">
          <w:rPr>
            <w:noProof/>
            <w:webHidden/>
          </w:rPr>
          <w:fldChar w:fldCharType="separate"/>
        </w:r>
        <w:r w:rsidR="007D3A8A">
          <w:rPr>
            <w:noProof/>
            <w:webHidden/>
          </w:rPr>
          <w:t>13</w:t>
        </w:r>
        <w:r w:rsidR="00165326">
          <w:rPr>
            <w:noProof/>
            <w:webHidden/>
          </w:rPr>
          <w:fldChar w:fldCharType="end"/>
        </w:r>
      </w:hyperlink>
    </w:p>
    <w:p w14:paraId="3F01F613" w14:textId="0D7953AC" w:rsidR="00426B17" w:rsidRDefault="005A0414">
      <w:pPr>
        <w:pStyle w:val="Spistreci2"/>
        <w:rPr>
          <w:rFonts w:asciiTheme="minorHAnsi" w:eastAsiaTheme="minorEastAsia" w:hAnsiTheme="minorHAnsi"/>
          <w:noProof/>
          <w:lang w:eastAsia="pl-PL"/>
        </w:rPr>
      </w:pPr>
      <w:hyperlink w:anchor="_Toc137810490" w:history="1">
        <w:r w:rsidR="00426B17" w:rsidRPr="00326F2E">
          <w:rPr>
            <w:rStyle w:val="Hipercze"/>
            <w:noProof/>
          </w:rPr>
          <w:t>3.5.</w:t>
        </w:r>
        <w:r w:rsidR="00426B17">
          <w:rPr>
            <w:rFonts w:asciiTheme="minorHAnsi" w:eastAsiaTheme="minorEastAsia" w:hAnsiTheme="minorHAnsi"/>
            <w:noProof/>
            <w:lang w:eastAsia="pl-PL"/>
          </w:rPr>
          <w:tab/>
        </w:r>
        <w:r w:rsidR="00426B17" w:rsidRPr="00326F2E">
          <w:rPr>
            <w:rStyle w:val="Hipercze"/>
            <w:noProof/>
          </w:rPr>
          <w:t>Zasady horyzontalne</w:t>
        </w:r>
        <w:r w:rsidR="00426B17">
          <w:rPr>
            <w:noProof/>
            <w:webHidden/>
          </w:rPr>
          <w:tab/>
        </w:r>
        <w:r w:rsidR="00165326">
          <w:rPr>
            <w:noProof/>
            <w:webHidden/>
          </w:rPr>
          <w:fldChar w:fldCharType="begin"/>
        </w:r>
        <w:r w:rsidR="00426B17">
          <w:rPr>
            <w:noProof/>
            <w:webHidden/>
          </w:rPr>
          <w:instrText xml:space="preserve"> PAGEREF _Toc137810490 \h </w:instrText>
        </w:r>
        <w:r w:rsidR="00165326">
          <w:rPr>
            <w:noProof/>
            <w:webHidden/>
          </w:rPr>
        </w:r>
        <w:r w:rsidR="00165326">
          <w:rPr>
            <w:noProof/>
            <w:webHidden/>
          </w:rPr>
          <w:fldChar w:fldCharType="separate"/>
        </w:r>
        <w:r w:rsidR="007D3A8A">
          <w:rPr>
            <w:noProof/>
            <w:webHidden/>
          </w:rPr>
          <w:t>20</w:t>
        </w:r>
        <w:r w:rsidR="00165326">
          <w:rPr>
            <w:noProof/>
            <w:webHidden/>
          </w:rPr>
          <w:fldChar w:fldCharType="end"/>
        </w:r>
      </w:hyperlink>
    </w:p>
    <w:p w14:paraId="494A10D1" w14:textId="276F7967"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491" w:history="1">
        <w:r w:rsidR="00426B17" w:rsidRPr="00326F2E">
          <w:rPr>
            <w:rStyle w:val="Hipercze"/>
            <w:noProof/>
          </w:rPr>
          <w:t>4.</w:t>
        </w:r>
        <w:r w:rsidR="00426B17">
          <w:rPr>
            <w:rFonts w:asciiTheme="minorHAnsi" w:eastAsiaTheme="minorEastAsia" w:hAnsiTheme="minorHAnsi"/>
            <w:b w:val="0"/>
            <w:noProof/>
            <w:lang w:eastAsia="pl-PL"/>
          </w:rPr>
          <w:tab/>
        </w:r>
        <w:r w:rsidR="00426B17" w:rsidRPr="00326F2E">
          <w:rPr>
            <w:rStyle w:val="Hipercze"/>
            <w:noProof/>
          </w:rPr>
          <w:t>Zasady finansowania</w:t>
        </w:r>
        <w:r w:rsidR="00426B17">
          <w:rPr>
            <w:noProof/>
            <w:webHidden/>
          </w:rPr>
          <w:tab/>
        </w:r>
        <w:r w:rsidR="00165326">
          <w:rPr>
            <w:noProof/>
            <w:webHidden/>
          </w:rPr>
          <w:fldChar w:fldCharType="begin"/>
        </w:r>
        <w:r w:rsidR="00426B17">
          <w:rPr>
            <w:noProof/>
            <w:webHidden/>
          </w:rPr>
          <w:instrText xml:space="preserve"> PAGEREF _Toc137810491 \h </w:instrText>
        </w:r>
        <w:r w:rsidR="00165326">
          <w:rPr>
            <w:noProof/>
            <w:webHidden/>
          </w:rPr>
        </w:r>
        <w:r w:rsidR="00165326">
          <w:rPr>
            <w:noProof/>
            <w:webHidden/>
          </w:rPr>
          <w:fldChar w:fldCharType="separate"/>
        </w:r>
        <w:r w:rsidR="007D3A8A">
          <w:rPr>
            <w:noProof/>
            <w:webHidden/>
          </w:rPr>
          <w:t>23</w:t>
        </w:r>
        <w:r w:rsidR="00165326">
          <w:rPr>
            <w:noProof/>
            <w:webHidden/>
          </w:rPr>
          <w:fldChar w:fldCharType="end"/>
        </w:r>
      </w:hyperlink>
    </w:p>
    <w:p w14:paraId="3973FA91" w14:textId="280FE316" w:rsidR="00426B17" w:rsidRDefault="005A0414">
      <w:pPr>
        <w:pStyle w:val="Spistreci2"/>
        <w:rPr>
          <w:rFonts w:asciiTheme="minorHAnsi" w:eastAsiaTheme="minorEastAsia" w:hAnsiTheme="minorHAnsi"/>
          <w:noProof/>
          <w:lang w:eastAsia="pl-PL"/>
        </w:rPr>
      </w:pPr>
      <w:hyperlink w:anchor="_Toc137810492" w:history="1">
        <w:r w:rsidR="00426B17" w:rsidRPr="00326F2E">
          <w:rPr>
            <w:rStyle w:val="Hipercze"/>
            <w:noProof/>
          </w:rPr>
          <w:t>4.1.</w:t>
        </w:r>
        <w:r w:rsidR="00426B17">
          <w:rPr>
            <w:rFonts w:asciiTheme="minorHAnsi" w:eastAsiaTheme="minorEastAsia" w:hAnsiTheme="minorHAnsi"/>
            <w:noProof/>
            <w:lang w:eastAsia="pl-PL"/>
          </w:rPr>
          <w:tab/>
        </w:r>
        <w:r w:rsidR="00426B17" w:rsidRPr="00326F2E">
          <w:rPr>
            <w:rStyle w:val="Hipercze"/>
            <w:noProof/>
          </w:rPr>
          <w:t>Koszty bezpośrednie</w:t>
        </w:r>
        <w:r w:rsidR="00426B17">
          <w:rPr>
            <w:noProof/>
            <w:webHidden/>
          </w:rPr>
          <w:tab/>
        </w:r>
        <w:r w:rsidR="00165326">
          <w:rPr>
            <w:noProof/>
            <w:webHidden/>
          </w:rPr>
          <w:fldChar w:fldCharType="begin"/>
        </w:r>
        <w:r w:rsidR="00426B17">
          <w:rPr>
            <w:noProof/>
            <w:webHidden/>
          </w:rPr>
          <w:instrText xml:space="preserve"> PAGEREF _Toc137810492 \h </w:instrText>
        </w:r>
        <w:r w:rsidR="00165326">
          <w:rPr>
            <w:noProof/>
            <w:webHidden/>
          </w:rPr>
        </w:r>
        <w:r w:rsidR="00165326">
          <w:rPr>
            <w:noProof/>
            <w:webHidden/>
          </w:rPr>
          <w:fldChar w:fldCharType="separate"/>
        </w:r>
        <w:r w:rsidR="007D3A8A">
          <w:rPr>
            <w:noProof/>
            <w:webHidden/>
          </w:rPr>
          <w:t>23</w:t>
        </w:r>
        <w:r w:rsidR="00165326">
          <w:rPr>
            <w:noProof/>
            <w:webHidden/>
          </w:rPr>
          <w:fldChar w:fldCharType="end"/>
        </w:r>
      </w:hyperlink>
    </w:p>
    <w:p w14:paraId="316061F2" w14:textId="3920F6F7" w:rsidR="00426B17" w:rsidRDefault="005A0414">
      <w:pPr>
        <w:pStyle w:val="Spistreci2"/>
        <w:rPr>
          <w:rFonts w:asciiTheme="minorHAnsi" w:eastAsiaTheme="minorEastAsia" w:hAnsiTheme="minorHAnsi"/>
          <w:noProof/>
          <w:lang w:eastAsia="pl-PL"/>
        </w:rPr>
      </w:pPr>
      <w:hyperlink w:anchor="_Toc137810493" w:history="1">
        <w:r w:rsidR="00426B17" w:rsidRPr="00326F2E">
          <w:rPr>
            <w:rStyle w:val="Hipercze"/>
            <w:noProof/>
          </w:rPr>
          <w:t>4.2.</w:t>
        </w:r>
        <w:r w:rsidR="00426B17">
          <w:rPr>
            <w:rFonts w:asciiTheme="minorHAnsi" w:eastAsiaTheme="minorEastAsia" w:hAnsiTheme="minorHAnsi"/>
            <w:noProof/>
            <w:lang w:eastAsia="pl-PL"/>
          </w:rPr>
          <w:tab/>
        </w:r>
        <w:r w:rsidR="00426B17" w:rsidRPr="00326F2E">
          <w:rPr>
            <w:rStyle w:val="Hipercze"/>
            <w:noProof/>
          </w:rPr>
          <w:t>Cross-financing oraz zakup środków trwałych</w:t>
        </w:r>
        <w:r w:rsidR="00426B17">
          <w:rPr>
            <w:noProof/>
            <w:webHidden/>
          </w:rPr>
          <w:tab/>
        </w:r>
        <w:r w:rsidR="00165326">
          <w:rPr>
            <w:noProof/>
            <w:webHidden/>
          </w:rPr>
          <w:fldChar w:fldCharType="begin"/>
        </w:r>
        <w:r w:rsidR="00426B17">
          <w:rPr>
            <w:noProof/>
            <w:webHidden/>
          </w:rPr>
          <w:instrText xml:space="preserve"> PAGEREF _Toc137810493 \h </w:instrText>
        </w:r>
        <w:r w:rsidR="00165326">
          <w:rPr>
            <w:noProof/>
            <w:webHidden/>
          </w:rPr>
        </w:r>
        <w:r w:rsidR="00165326">
          <w:rPr>
            <w:noProof/>
            <w:webHidden/>
          </w:rPr>
          <w:fldChar w:fldCharType="separate"/>
        </w:r>
        <w:r w:rsidR="007D3A8A">
          <w:rPr>
            <w:noProof/>
            <w:webHidden/>
          </w:rPr>
          <w:t>23</w:t>
        </w:r>
        <w:r w:rsidR="00165326">
          <w:rPr>
            <w:noProof/>
            <w:webHidden/>
          </w:rPr>
          <w:fldChar w:fldCharType="end"/>
        </w:r>
      </w:hyperlink>
    </w:p>
    <w:p w14:paraId="599A4F83" w14:textId="51EEACC3" w:rsidR="00426B17" w:rsidRDefault="005A0414">
      <w:pPr>
        <w:pStyle w:val="Spistreci2"/>
        <w:rPr>
          <w:rFonts w:asciiTheme="minorHAnsi" w:eastAsiaTheme="minorEastAsia" w:hAnsiTheme="minorHAnsi"/>
          <w:noProof/>
          <w:lang w:eastAsia="pl-PL"/>
        </w:rPr>
      </w:pPr>
      <w:hyperlink w:anchor="_Toc137810494" w:history="1">
        <w:r w:rsidR="00426B17" w:rsidRPr="00326F2E">
          <w:rPr>
            <w:rStyle w:val="Hipercze"/>
            <w:noProof/>
          </w:rPr>
          <w:t>4.3.</w:t>
        </w:r>
        <w:r w:rsidR="00426B17">
          <w:rPr>
            <w:rFonts w:asciiTheme="minorHAnsi" w:eastAsiaTheme="minorEastAsia" w:hAnsiTheme="minorHAnsi"/>
            <w:noProof/>
            <w:lang w:eastAsia="pl-PL"/>
          </w:rPr>
          <w:tab/>
        </w:r>
        <w:r w:rsidR="00426B17" w:rsidRPr="00326F2E">
          <w:rPr>
            <w:rStyle w:val="Hipercze"/>
            <w:noProof/>
          </w:rPr>
          <w:t>Wkład własny</w:t>
        </w:r>
        <w:r w:rsidR="00426B17">
          <w:rPr>
            <w:noProof/>
            <w:webHidden/>
          </w:rPr>
          <w:tab/>
        </w:r>
        <w:r w:rsidR="00165326">
          <w:rPr>
            <w:noProof/>
            <w:webHidden/>
          </w:rPr>
          <w:fldChar w:fldCharType="begin"/>
        </w:r>
        <w:r w:rsidR="00426B17">
          <w:rPr>
            <w:noProof/>
            <w:webHidden/>
          </w:rPr>
          <w:instrText xml:space="preserve"> PAGEREF _Toc137810494 \h </w:instrText>
        </w:r>
        <w:r w:rsidR="00165326">
          <w:rPr>
            <w:noProof/>
            <w:webHidden/>
          </w:rPr>
        </w:r>
        <w:r w:rsidR="00165326">
          <w:rPr>
            <w:noProof/>
            <w:webHidden/>
          </w:rPr>
          <w:fldChar w:fldCharType="separate"/>
        </w:r>
        <w:r w:rsidR="007D3A8A">
          <w:rPr>
            <w:noProof/>
            <w:webHidden/>
          </w:rPr>
          <w:t>24</w:t>
        </w:r>
        <w:r w:rsidR="00165326">
          <w:rPr>
            <w:noProof/>
            <w:webHidden/>
          </w:rPr>
          <w:fldChar w:fldCharType="end"/>
        </w:r>
      </w:hyperlink>
    </w:p>
    <w:p w14:paraId="0FE94330" w14:textId="3816F5B2" w:rsidR="00426B17" w:rsidRDefault="005A0414">
      <w:pPr>
        <w:pStyle w:val="Spistreci2"/>
        <w:rPr>
          <w:rFonts w:asciiTheme="minorHAnsi" w:eastAsiaTheme="minorEastAsia" w:hAnsiTheme="minorHAnsi"/>
          <w:noProof/>
          <w:lang w:eastAsia="pl-PL"/>
        </w:rPr>
      </w:pPr>
      <w:hyperlink w:anchor="_Toc137810495" w:history="1">
        <w:r w:rsidR="00426B17" w:rsidRPr="00326F2E">
          <w:rPr>
            <w:rStyle w:val="Hipercze"/>
            <w:noProof/>
          </w:rPr>
          <w:t>4.4.</w:t>
        </w:r>
        <w:r w:rsidR="00426B17">
          <w:rPr>
            <w:rFonts w:asciiTheme="minorHAnsi" w:eastAsiaTheme="minorEastAsia" w:hAnsiTheme="minorHAnsi"/>
            <w:noProof/>
            <w:lang w:eastAsia="pl-PL"/>
          </w:rPr>
          <w:tab/>
        </w:r>
        <w:r w:rsidR="00426B17" w:rsidRPr="00326F2E">
          <w:rPr>
            <w:rStyle w:val="Hipercze"/>
            <w:noProof/>
          </w:rPr>
          <w:t>Personel projektu</w:t>
        </w:r>
        <w:r w:rsidR="00426B17">
          <w:rPr>
            <w:noProof/>
            <w:webHidden/>
          </w:rPr>
          <w:tab/>
        </w:r>
        <w:r w:rsidR="00165326">
          <w:rPr>
            <w:noProof/>
            <w:webHidden/>
          </w:rPr>
          <w:fldChar w:fldCharType="begin"/>
        </w:r>
        <w:r w:rsidR="00426B17">
          <w:rPr>
            <w:noProof/>
            <w:webHidden/>
          </w:rPr>
          <w:instrText xml:space="preserve"> PAGEREF _Toc137810495 \h </w:instrText>
        </w:r>
        <w:r w:rsidR="00165326">
          <w:rPr>
            <w:noProof/>
            <w:webHidden/>
          </w:rPr>
        </w:r>
        <w:r w:rsidR="00165326">
          <w:rPr>
            <w:noProof/>
            <w:webHidden/>
          </w:rPr>
          <w:fldChar w:fldCharType="separate"/>
        </w:r>
        <w:r w:rsidR="007D3A8A">
          <w:rPr>
            <w:noProof/>
            <w:webHidden/>
          </w:rPr>
          <w:t>25</w:t>
        </w:r>
        <w:r w:rsidR="00165326">
          <w:rPr>
            <w:noProof/>
            <w:webHidden/>
          </w:rPr>
          <w:fldChar w:fldCharType="end"/>
        </w:r>
      </w:hyperlink>
    </w:p>
    <w:p w14:paraId="02C33FD0" w14:textId="0E85AE23" w:rsidR="00426B17" w:rsidRDefault="005A0414">
      <w:pPr>
        <w:pStyle w:val="Spistreci2"/>
        <w:rPr>
          <w:rFonts w:asciiTheme="minorHAnsi" w:eastAsiaTheme="minorEastAsia" w:hAnsiTheme="minorHAnsi"/>
          <w:noProof/>
          <w:lang w:eastAsia="pl-PL"/>
        </w:rPr>
      </w:pPr>
      <w:hyperlink w:anchor="_Toc137810496" w:history="1">
        <w:r w:rsidR="00426B17" w:rsidRPr="00326F2E">
          <w:rPr>
            <w:rStyle w:val="Hipercze"/>
            <w:noProof/>
          </w:rPr>
          <w:t>4.5.</w:t>
        </w:r>
        <w:r w:rsidR="00426B17">
          <w:rPr>
            <w:rFonts w:asciiTheme="minorHAnsi" w:eastAsiaTheme="minorEastAsia" w:hAnsiTheme="minorHAnsi"/>
            <w:noProof/>
            <w:lang w:eastAsia="pl-PL"/>
          </w:rPr>
          <w:tab/>
        </w:r>
        <w:r w:rsidR="00426B17" w:rsidRPr="00326F2E">
          <w:rPr>
            <w:rStyle w:val="Hipercze"/>
            <w:noProof/>
          </w:rPr>
          <w:t>Pomoc publiczna, pomoc de minimis</w:t>
        </w:r>
        <w:r w:rsidR="00426B17">
          <w:rPr>
            <w:noProof/>
            <w:webHidden/>
          </w:rPr>
          <w:tab/>
        </w:r>
        <w:r w:rsidR="00165326">
          <w:rPr>
            <w:noProof/>
            <w:webHidden/>
          </w:rPr>
          <w:fldChar w:fldCharType="begin"/>
        </w:r>
        <w:r w:rsidR="00426B17">
          <w:rPr>
            <w:noProof/>
            <w:webHidden/>
          </w:rPr>
          <w:instrText xml:space="preserve"> PAGEREF _Toc137810496 \h </w:instrText>
        </w:r>
        <w:r w:rsidR="00165326">
          <w:rPr>
            <w:noProof/>
            <w:webHidden/>
          </w:rPr>
        </w:r>
        <w:r w:rsidR="00165326">
          <w:rPr>
            <w:noProof/>
            <w:webHidden/>
          </w:rPr>
          <w:fldChar w:fldCharType="separate"/>
        </w:r>
        <w:r w:rsidR="007D3A8A">
          <w:rPr>
            <w:noProof/>
            <w:webHidden/>
          </w:rPr>
          <w:t>26</w:t>
        </w:r>
        <w:r w:rsidR="00165326">
          <w:rPr>
            <w:noProof/>
            <w:webHidden/>
          </w:rPr>
          <w:fldChar w:fldCharType="end"/>
        </w:r>
      </w:hyperlink>
    </w:p>
    <w:p w14:paraId="1773CAF5" w14:textId="3AA6E324" w:rsidR="00426B17" w:rsidRDefault="005A0414">
      <w:pPr>
        <w:pStyle w:val="Spistreci2"/>
        <w:rPr>
          <w:rFonts w:asciiTheme="minorHAnsi" w:eastAsiaTheme="minorEastAsia" w:hAnsiTheme="minorHAnsi"/>
          <w:noProof/>
          <w:lang w:eastAsia="pl-PL"/>
        </w:rPr>
      </w:pPr>
      <w:hyperlink w:anchor="_Toc137810497" w:history="1">
        <w:r w:rsidR="00426B17" w:rsidRPr="00326F2E">
          <w:rPr>
            <w:rStyle w:val="Hipercze"/>
            <w:noProof/>
          </w:rPr>
          <w:t>4.6.</w:t>
        </w:r>
        <w:r w:rsidR="00426B17">
          <w:rPr>
            <w:rFonts w:asciiTheme="minorHAnsi" w:eastAsiaTheme="minorEastAsia" w:hAnsiTheme="minorHAnsi"/>
            <w:noProof/>
            <w:lang w:eastAsia="pl-PL"/>
          </w:rPr>
          <w:tab/>
        </w:r>
        <w:r w:rsidR="00426B17" w:rsidRPr="00326F2E">
          <w:rPr>
            <w:rStyle w:val="Hipercze"/>
            <w:noProof/>
          </w:rPr>
          <w:t>VAT</w:t>
        </w:r>
        <w:r w:rsidR="00426B17">
          <w:rPr>
            <w:noProof/>
            <w:webHidden/>
          </w:rPr>
          <w:tab/>
        </w:r>
        <w:r w:rsidR="00165326">
          <w:rPr>
            <w:noProof/>
            <w:webHidden/>
          </w:rPr>
          <w:fldChar w:fldCharType="begin"/>
        </w:r>
        <w:r w:rsidR="00426B17">
          <w:rPr>
            <w:noProof/>
            <w:webHidden/>
          </w:rPr>
          <w:instrText xml:space="preserve"> PAGEREF _Toc137810497 \h </w:instrText>
        </w:r>
        <w:r w:rsidR="00165326">
          <w:rPr>
            <w:noProof/>
            <w:webHidden/>
          </w:rPr>
        </w:r>
        <w:r w:rsidR="00165326">
          <w:rPr>
            <w:noProof/>
            <w:webHidden/>
          </w:rPr>
          <w:fldChar w:fldCharType="separate"/>
        </w:r>
        <w:r w:rsidR="007D3A8A">
          <w:rPr>
            <w:noProof/>
            <w:webHidden/>
          </w:rPr>
          <w:t>2</w:t>
        </w:r>
        <w:r w:rsidR="007D3A8A">
          <w:rPr>
            <w:noProof/>
            <w:webHidden/>
          </w:rPr>
          <w:t>6</w:t>
        </w:r>
        <w:r w:rsidR="00165326">
          <w:rPr>
            <w:noProof/>
            <w:webHidden/>
          </w:rPr>
          <w:fldChar w:fldCharType="end"/>
        </w:r>
      </w:hyperlink>
    </w:p>
    <w:p w14:paraId="503DDBEB" w14:textId="00D49252" w:rsidR="00426B17" w:rsidRDefault="005A0414">
      <w:pPr>
        <w:pStyle w:val="Spistreci2"/>
        <w:rPr>
          <w:rFonts w:asciiTheme="minorHAnsi" w:eastAsiaTheme="minorEastAsia" w:hAnsiTheme="minorHAnsi"/>
          <w:noProof/>
          <w:lang w:eastAsia="pl-PL"/>
        </w:rPr>
      </w:pPr>
      <w:hyperlink w:anchor="_Toc137810498" w:history="1">
        <w:r w:rsidR="00426B17" w:rsidRPr="00326F2E">
          <w:rPr>
            <w:rStyle w:val="Hipercze"/>
            <w:noProof/>
          </w:rPr>
          <w:t>4.7.</w:t>
        </w:r>
        <w:r w:rsidR="00426B17">
          <w:rPr>
            <w:rFonts w:asciiTheme="minorHAnsi" w:eastAsiaTheme="minorEastAsia" w:hAnsiTheme="minorHAnsi"/>
            <w:noProof/>
            <w:lang w:eastAsia="pl-PL"/>
          </w:rPr>
          <w:tab/>
        </w:r>
        <w:r w:rsidR="00426B17" w:rsidRPr="00326F2E">
          <w:rPr>
            <w:rStyle w:val="Hipercze"/>
            <w:noProof/>
          </w:rPr>
          <w:t>Koszty pośrednie</w:t>
        </w:r>
        <w:r w:rsidR="00426B17">
          <w:rPr>
            <w:noProof/>
            <w:webHidden/>
          </w:rPr>
          <w:tab/>
        </w:r>
        <w:r w:rsidR="00165326">
          <w:rPr>
            <w:noProof/>
            <w:webHidden/>
          </w:rPr>
          <w:fldChar w:fldCharType="begin"/>
        </w:r>
        <w:r w:rsidR="00426B17">
          <w:rPr>
            <w:noProof/>
            <w:webHidden/>
          </w:rPr>
          <w:instrText xml:space="preserve"> PAGEREF _Toc137810498 \h </w:instrText>
        </w:r>
        <w:r w:rsidR="00165326">
          <w:rPr>
            <w:noProof/>
            <w:webHidden/>
          </w:rPr>
        </w:r>
        <w:r w:rsidR="00165326">
          <w:rPr>
            <w:noProof/>
            <w:webHidden/>
          </w:rPr>
          <w:fldChar w:fldCharType="separate"/>
        </w:r>
        <w:r w:rsidR="007D3A8A">
          <w:rPr>
            <w:noProof/>
            <w:webHidden/>
          </w:rPr>
          <w:t>27</w:t>
        </w:r>
        <w:r w:rsidR="00165326">
          <w:rPr>
            <w:noProof/>
            <w:webHidden/>
          </w:rPr>
          <w:fldChar w:fldCharType="end"/>
        </w:r>
      </w:hyperlink>
    </w:p>
    <w:p w14:paraId="702A98B7" w14:textId="08D76883" w:rsidR="00426B17" w:rsidRDefault="005A0414">
      <w:pPr>
        <w:pStyle w:val="Spistreci2"/>
        <w:rPr>
          <w:rFonts w:asciiTheme="minorHAnsi" w:eastAsiaTheme="minorEastAsia" w:hAnsiTheme="minorHAnsi"/>
          <w:noProof/>
          <w:lang w:eastAsia="pl-PL"/>
        </w:rPr>
      </w:pPr>
      <w:hyperlink w:anchor="_Toc137810499" w:history="1">
        <w:r w:rsidR="00426B17" w:rsidRPr="00326F2E">
          <w:rPr>
            <w:rStyle w:val="Hipercze"/>
            <w:noProof/>
          </w:rPr>
          <w:t>4.8.</w:t>
        </w:r>
        <w:r w:rsidR="00426B17">
          <w:rPr>
            <w:rFonts w:asciiTheme="minorHAnsi" w:eastAsiaTheme="minorEastAsia" w:hAnsiTheme="minorHAnsi"/>
            <w:noProof/>
            <w:lang w:eastAsia="pl-PL"/>
          </w:rPr>
          <w:tab/>
        </w:r>
        <w:r w:rsidR="00426B17" w:rsidRPr="00326F2E">
          <w:rPr>
            <w:rStyle w:val="Hipercze"/>
            <w:noProof/>
          </w:rPr>
          <w:t>Ocena kwalifikowalności wydatków, w tym wydatki niekwalifikowalne</w:t>
        </w:r>
        <w:r w:rsidR="00426B17">
          <w:rPr>
            <w:noProof/>
            <w:webHidden/>
          </w:rPr>
          <w:tab/>
        </w:r>
        <w:r w:rsidR="00165326">
          <w:rPr>
            <w:noProof/>
            <w:webHidden/>
          </w:rPr>
          <w:fldChar w:fldCharType="begin"/>
        </w:r>
        <w:r w:rsidR="00426B17">
          <w:rPr>
            <w:noProof/>
            <w:webHidden/>
          </w:rPr>
          <w:instrText xml:space="preserve"> PAGEREF _Toc137810499 \h </w:instrText>
        </w:r>
        <w:r w:rsidR="00165326">
          <w:rPr>
            <w:noProof/>
            <w:webHidden/>
          </w:rPr>
        </w:r>
        <w:r w:rsidR="00165326">
          <w:rPr>
            <w:noProof/>
            <w:webHidden/>
          </w:rPr>
          <w:fldChar w:fldCharType="separate"/>
        </w:r>
        <w:r w:rsidR="007D3A8A">
          <w:rPr>
            <w:noProof/>
            <w:webHidden/>
          </w:rPr>
          <w:t>28</w:t>
        </w:r>
        <w:r w:rsidR="00165326">
          <w:rPr>
            <w:noProof/>
            <w:webHidden/>
          </w:rPr>
          <w:fldChar w:fldCharType="end"/>
        </w:r>
      </w:hyperlink>
    </w:p>
    <w:p w14:paraId="2D319639" w14:textId="360A5ABE" w:rsidR="00426B17" w:rsidRDefault="005A0414">
      <w:pPr>
        <w:pStyle w:val="Spistreci2"/>
        <w:rPr>
          <w:rFonts w:asciiTheme="minorHAnsi" w:eastAsiaTheme="minorEastAsia" w:hAnsiTheme="minorHAnsi"/>
          <w:noProof/>
          <w:lang w:eastAsia="pl-PL"/>
        </w:rPr>
      </w:pPr>
      <w:hyperlink w:anchor="_Toc137810500" w:history="1">
        <w:r w:rsidR="00426B17" w:rsidRPr="00326F2E">
          <w:rPr>
            <w:rStyle w:val="Hipercze"/>
            <w:noProof/>
          </w:rPr>
          <w:t>4.9.</w:t>
        </w:r>
        <w:r w:rsidR="00426B17">
          <w:rPr>
            <w:rFonts w:asciiTheme="minorHAnsi" w:eastAsiaTheme="minorEastAsia" w:hAnsiTheme="minorHAnsi"/>
            <w:noProof/>
            <w:lang w:eastAsia="pl-PL"/>
          </w:rPr>
          <w:tab/>
        </w:r>
        <w:r w:rsidR="00426B17" w:rsidRPr="00326F2E">
          <w:rPr>
            <w:rStyle w:val="Hipercze"/>
            <w:noProof/>
          </w:rPr>
          <w:t>Udzielanie zamówień w ramach projektu</w:t>
        </w:r>
        <w:r w:rsidR="00426B17">
          <w:rPr>
            <w:noProof/>
            <w:webHidden/>
          </w:rPr>
          <w:tab/>
        </w:r>
        <w:r w:rsidR="00165326">
          <w:rPr>
            <w:noProof/>
            <w:webHidden/>
          </w:rPr>
          <w:fldChar w:fldCharType="begin"/>
        </w:r>
        <w:r w:rsidR="00426B17">
          <w:rPr>
            <w:noProof/>
            <w:webHidden/>
          </w:rPr>
          <w:instrText xml:space="preserve"> PAGEREF _Toc137810500 \h </w:instrText>
        </w:r>
        <w:r w:rsidR="00165326">
          <w:rPr>
            <w:noProof/>
            <w:webHidden/>
          </w:rPr>
        </w:r>
        <w:r w:rsidR="00165326">
          <w:rPr>
            <w:noProof/>
            <w:webHidden/>
          </w:rPr>
          <w:fldChar w:fldCharType="separate"/>
        </w:r>
        <w:r w:rsidR="007D3A8A">
          <w:rPr>
            <w:noProof/>
            <w:webHidden/>
          </w:rPr>
          <w:t>32</w:t>
        </w:r>
        <w:r w:rsidR="00165326">
          <w:rPr>
            <w:noProof/>
            <w:webHidden/>
          </w:rPr>
          <w:fldChar w:fldCharType="end"/>
        </w:r>
      </w:hyperlink>
    </w:p>
    <w:p w14:paraId="625CD85B" w14:textId="76CBCAEB"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501" w:history="1">
        <w:r w:rsidR="00426B17" w:rsidRPr="00326F2E">
          <w:rPr>
            <w:rStyle w:val="Hipercze"/>
            <w:noProof/>
          </w:rPr>
          <w:t>5.</w:t>
        </w:r>
        <w:r w:rsidR="00426B17">
          <w:rPr>
            <w:rFonts w:asciiTheme="minorHAnsi" w:eastAsiaTheme="minorEastAsia" w:hAnsiTheme="minorHAnsi"/>
            <w:b w:val="0"/>
            <w:noProof/>
            <w:lang w:eastAsia="pl-PL"/>
          </w:rPr>
          <w:tab/>
        </w:r>
        <w:r w:rsidR="00426B17" w:rsidRPr="00326F2E">
          <w:rPr>
            <w:rStyle w:val="Hipercze"/>
            <w:noProof/>
          </w:rPr>
          <w:t>Wybór projektu do dofinansowania i rozstrzygnięcie naboru</w:t>
        </w:r>
        <w:r w:rsidR="00426B17">
          <w:rPr>
            <w:noProof/>
            <w:webHidden/>
          </w:rPr>
          <w:tab/>
        </w:r>
        <w:r w:rsidR="00165326">
          <w:rPr>
            <w:noProof/>
            <w:webHidden/>
          </w:rPr>
          <w:fldChar w:fldCharType="begin"/>
        </w:r>
        <w:r w:rsidR="00426B17">
          <w:rPr>
            <w:noProof/>
            <w:webHidden/>
          </w:rPr>
          <w:instrText xml:space="preserve"> PAGEREF _Toc137810501 \h </w:instrText>
        </w:r>
        <w:r w:rsidR="00165326">
          <w:rPr>
            <w:noProof/>
            <w:webHidden/>
          </w:rPr>
        </w:r>
        <w:r w:rsidR="00165326">
          <w:rPr>
            <w:noProof/>
            <w:webHidden/>
          </w:rPr>
          <w:fldChar w:fldCharType="separate"/>
        </w:r>
        <w:r w:rsidR="007D3A8A">
          <w:rPr>
            <w:noProof/>
            <w:webHidden/>
          </w:rPr>
          <w:t>33</w:t>
        </w:r>
        <w:r w:rsidR="00165326">
          <w:rPr>
            <w:noProof/>
            <w:webHidden/>
          </w:rPr>
          <w:fldChar w:fldCharType="end"/>
        </w:r>
      </w:hyperlink>
    </w:p>
    <w:p w14:paraId="1EE4F81F" w14:textId="141D64A2" w:rsidR="00426B17" w:rsidRDefault="005A0414">
      <w:pPr>
        <w:pStyle w:val="Spistreci2"/>
        <w:rPr>
          <w:rFonts w:asciiTheme="minorHAnsi" w:eastAsiaTheme="minorEastAsia" w:hAnsiTheme="minorHAnsi"/>
          <w:noProof/>
          <w:lang w:eastAsia="pl-PL"/>
        </w:rPr>
      </w:pPr>
      <w:hyperlink w:anchor="_Toc137810502" w:history="1">
        <w:r w:rsidR="00426B17" w:rsidRPr="00326F2E">
          <w:rPr>
            <w:rStyle w:val="Hipercze"/>
            <w:noProof/>
          </w:rPr>
          <w:t>5.1.</w:t>
        </w:r>
        <w:r w:rsidR="00426B17">
          <w:rPr>
            <w:rFonts w:asciiTheme="minorHAnsi" w:eastAsiaTheme="minorEastAsia" w:hAnsiTheme="minorHAnsi"/>
            <w:noProof/>
            <w:lang w:eastAsia="pl-PL"/>
          </w:rPr>
          <w:tab/>
        </w:r>
        <w:r w:rsidR="00426B17" w:rsidRPr="00326F2E">
          <w:rPr>
            <w:rStyle w:val="Hipercze"/>
            <w:noProof/>
          </w:rPr>
          <w:t>Opis procedury oceny projektów</w:t>
        </w:r>
        <w:r w:rsidR="00426B17">
          <w:rPr>
            <w:noProof/>
            <w:webHidden/>
          </w:rPr>
          <w:tab/>
        </w:r>
        <w:r w:rsidR="00165326">
          <w:rPr>
            <w:noProof/>
            <w:webHidden/>
          </w:rPr>
          <w:fldChar w:fldCharType="begin"/>
        </w:r>
        <w:r w:rsidR="00426B17">
          <w:rPr>
            <w:noProof/>
            <w:webHidden/>
          </w:rPr>
          <w:instrText xml:space="preserve"> PAGEREF _Toc137810502 \h </w:instrText>
        </w:r>
        <w:r w:rsidR="00165326">
          <w:rPr>
            <w:noProof/>
            <w:webHidden/>
          </w:rPr>
        </w:r>
        <w:r w:rsidR="00165326">
          <w:rPr>
            <w:noProof/>
            <w:webHidden/>
          </w:rPr>
          <w:fldChar w:fldCharType="separate"/>
        </w:r>
        <w:r w:rsidR="007D3A8A">
          <w:rPr>
            <w:noProof/>
            <w:webHidden/>
          </w:rPr>
          <w:t>33</w:t>
        </w:r>
        <w:r w:rsidR="00165326">
          <w:rPr>
            <w:noProof/>
            <w:webHidden/>
          </w:rPr>
          <w:fldChar w:fldCharType="end"/>
        </w:r>
      </w:hyperlink>
    </w:p>
    <w:p w14:paraId="510F87AA" w14:textId="21707F4B" w:rsidR="00426B17" w:rsidRDefault="005A0414">
      <w:pPr>
        <w:pStyle w:val="Spistreci1"/>
        <w:tabs>
          <w:tab w:val="left" w:pos="440"/>
          <w:tab w:val="right" w:leader="dot" w:pos="9062"/>
        </w:tabs>
        <w:rPr>
          <w:rFonts w:asciiTheme="minorHAnsi" w:eastAsiaTheme="minorEastAsia" w:hAnsiTheme="minorHAnsi"/>
          <w:b w:val="0"/>
          <w:noProof/>
          <w:lang w:eastAsia="pl-PL"/>
        </w:rPr>
      </w:pPr>
      <w:hyperlink w:anchor="_Toc137810503" w:history="1">
        <w:r w:rsidR="00426B17" w:rsidRPr="00326F2E">
          <w:rPr>
            <w:rStyle w:val="Hipercze"/>
            <w:noProof/>
          </w:rPr>
          <w:t>6.</w:t>
        </w:r>
        <w:r w:rsidR="00426B17">
          <w:rPr>
            <w:rFonts w:asciiTheme="minorHAnsi" w:eastAsiaTheme="minorEastAsia" w:hAnsiTheme="minorHAnsi"/>
            <w:b w:val="0"/>
            <w:noProof/>
            <w:lang w:eastAsia="pl-PL"/>
          </w:rPr>
          <w:tab/>
        </w:r>
        <w:r w:rsidR="00426B17" w:rsidRPr="00326F2E">
          <w:rPr>
            <w:rStyle w:val="Hipercze"/>
            <w:noProof/>
          </w:rPr>
          <w:t>Spis załączników</w:t>
        </w:r>
        <w:r w:rsidR="00426B17">
          <w:rPr>
            <w:noProof/>
            <w:webHidden/>
          </w:rPr>
          <w:tab/>
        </w:r>
        <w:r w:rsidR="00165326">
          <w:rPr>
            <w:noProof/>
            <w:webHidden/>
          </w:rPr>
          <w:fldChar w:fldCharType="begin"/>
        </w:r>
        <w:r w:rsidR="00426B17">
          <w:rPr>
            <w:noProof/>
            <w:webHidden/>
          </w:rPr>
          <w:instrText xml:space="preserve"> PAGEREF _Toc137810503 \h </w:instrText>
        </w:r>
        <w:r w:rsidR="00165326">
          <w:rPr>
            <w:noProof/>
            <w:webHidden/>
          </w:rPr>
        </w:r>
        <w:r w:rsidR="00165326">
          <w:rPr>
            <w:noProof/>
            <w:webHidden/>
          </w:rPr>
          <w:fldChar w:fldCharType="separate"/>
        </w:r>
        <w:r w:rsidR="007D3A8A">
          <w:rPr>
            <w:noProof/>
            <w:webHidden/>
          </w:rPr>
          <w:t>36</w:t>
        </w:r>
        <w:r w:rsidR="00165326">
          <w:rPr>
            <w:noProof/>
            <w:webHidden/>
          </w:rPr>
          <w:fldChar w:fldCharType="end"/>
        </w:r>
      </w:hyperlink>
    </w:p>
    <w:p w14:paraId="5BD46CC2" w14:textId="77777777" w:rsidR="004E4380" w:rsidRPr="004E4380" w:rsidRDefault="00165326" w:rsidP="001C3CAC">
      <w:pPr>
        <w:spacing w:line="259" w:lineRule="auto"/>
        <w:rPr>
          <w:rFonts w:cs="Arial"/>
          <w:b/>
          <w:sz w:val="24"/>
          <w:szCs w:val="24"/>
        </w:rPr>
      </w:pPr>
      <w:r>
        <w:rPr>
          <w:rFonts w:cs="Arial"/>
          <w:b/>
          <w:sz w:val="24"/>
          <w:szCs w:val="24"/>
        </w:rPr>
        <w:fldChar w:fldCharType="end"/>
      </w:r>
      <w:r w:rsidR="004E4380">
        <w:br w:type="page"/>
      </w:r>
    </w:p>
    <w:p w14:paraId="7F5D2CCF" w14:textId="77777777" w:rsidR="00D6679F" w:rsidRDefault="00D6679F" w:rsidP="001C3CAC">
      <w:pPr>
        <w:pStyle w:val="Rozdzia-K"/>
        <w:numPr>
          <w:ilvl w:val="0"/>
          <w:numId w:val="0"/>
        </w:numPr>
        <w:jc w:val="left"/>
      </w:pPr>
      <w:bookmarkStart w:id="0" w:name="_Toc137810475"/>
      <w:r w:rsidRPr="00D6679F">
        <w:lastRenderedPageBreak/>
        <w:t>Słownik skrótów i pojęć</w:t>
      </w:r>
      <w:bookmarkEnd w:id="0"/>
    </w:p>
    <w:p w14:paraId="348CF557" w14:textId="77777777" w:rsidR="00EF140B" w:rsidRPr="00737D1D" w:rsidRDefault="00EF140B" w:rsidP="001C3CAC">
      <w:pPr>
        <w:pStyle w:val="Nagwek-K"/>
        <w:ind w:left="0"/>
      </w:pPr>
      <w:r w:rsidRPr="00737D1D">
        <w:t>Wykaz skrótów</w:t>
      </w:r>
    </w:p>
    <w:p w14:paraId="1EACD310" w14:textId="77777777" w:rsidR="00EF140B" w:rsidRPr="00E06418" w:rsidRDefault="00EF140B" w:rsidP="001C3CAC">
      <w:pPr>
        <w:numPr>
          <w:ilvl w:val="0"/>
          <w:numId w:val="4"/>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6729D916" w14:textId="77777777" w:rsidR="00EF140B" w:rsidRDefault="00EF140B" w:rsidP="001C3CAC">
      <w:pPr>
        <w:numPr>
          <w:ilvl w:val="0"/>
          <w:numId w:val="4"/>
        </w:numPr>
        <w:tabs>
          <w:tab w:val="center" w:pos="4536"/>
          <w:tab w:val="right" w:pos="9072"/>
        </w:tabs>
        <w:spacing w:before="40" w:after="40"/>
        <w:rPr>
          <w:rFonts w:eastAsia="Calibri" w:cs="Arial"/>
          <w:bCs/>
        </w:rPr>
      </w:pPr>
      <w:proofErr w:type="spellStart"/>
      <w:r w:rsidRPr="00E06418">
        <w:rPr>
          <w:rFonts w:eastAsia="Calibri" w:cs="Arial"/>
          <w:b/>
        </w:rPr>
        <w:t>FEWiM</w:t>
      </w:r>
      <w:proofErr w:type="spellEnd"/>
      <w:r w:rsidRPr="00E06418">
        <w:rPr>
          <w:rFonts w:eastAsia="Calibri" w:cs="Arial"/>
          <w:bCs/>
        </w:rPr>
        <w:t xml:space="preserve"> – Program Regionalny Fundusze Europejskie dla Warmii i Mazur na lata 2021-2027; </w:t>
      </w:r>
    </w:p>
    <w:p w14:paraId="4B7A1DBF" w14:textId="77777777" w:rsidR="00EF140B" w:rsidRPr="00E06418" w:rsidRDefault="00EF140B" w:rsidP="001C3CAC">
      <w:pPr>
        <w:numPr>
          <w:ilvl w:val="0"/>
          <w:numId w:val="4"/>
        </w:numPr>
        <w:tabs>
          <w:tab w:val="center" w:pos="4536"/>
          <w:tab w:val="right" w:pos="9072"/>
        </w:tabs>
        <w:spacing w:before="40" w:after="40"/>
        <w:rPr>
          <w:rFonts w:eastAsia="Calibri" w:cs="Arial"/>
          <w:bCs/>
        </w:rPr>
      </w:pPr>
      <w:r w:rsidRPr="00E47AF1">
        <w:rPr>
          <w:rFonts w:eastAsia="Calibri" w:cs="Arial"/>
          <w:b/>
          <w:bCs/>
        </w:rPr>
        <w:t>Beneficjent</w:t>
      </w:r>
      <w:r w:rsidRPr="00FC6184">
        <w:rPr>
          <w:rFonts w:eastAsia="Calibri" w:cs="Arial"/>
          <w:bCs/>
        </w:rPr>
        <w:t xml:space="preserve"> - podmiot odpowiedzialny za realizację projektu;</w:t>
      </w:r>
    </w:p>
    <w:p w14:paraId="26D412C9" w14:textId="77777777" w:rsidR="00EF140B" w:rsidRPr="00E06418" w:rsidRDefault="00EF140B" w:rsidP="001C3CAC">
      <w:pPr>
        <w:numPr>
          <w:ilvl w:val="0"/>
          <w:numId w:val="4"/>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30E1802A" w14:textId="77777777" w:rsidR="00EF140B" w:rsidRPr="00E06418" w:rsidRDefault="00EF140B" w:rsidP="001C3CAC">
      <w:pPr>
        <w:numPr>
          <w:ilvl w:val="0"/>
          <w:numId w:val="4"/>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xml:space="preserve">– Instytucja Zarządzająca Programem </w:t>
      </w:r>
      <w:proofErr w:type="spellStart"/>
      <w:r w:rsidRPr="00E06418">
        <w:rPr>
          <w:rFonts w:eastAsia="Calibri" w:cs="Arial"/>
          <w:bCs/>
        </w:rPr>
        <w:t>FEW</w:t>
      </w:r>
      <w:r w:rsidR="00021AB0">
        <w:rPr>
          <w:rFonts w:eastAsia="Calibri" w:cs="Arial"/>
          <w:bCs/>
        </w:rPr>
        <w:t>i</w:t>
      </w:r>
      <w:r w:rsidRPr="00E06418">
        <w:rPr>
          <w:rFonts w:eastAsia="Calibri" w:cs="Arial"/>
          <w:bCs/>
        </w:rPr>
        <w:t>M</w:t>
      </w:r>
      <w:proofErr w:type="spellEnd"/>
      <w:r w:rsidRPr="00E06418">
        <w:rPr>
          <w:rFonts w:eastAsia="Calibri" w:cs="Arial"/>
          <w:bCs/>
        </w:rPr>
        <w:t xml:space="preserve"> 2021-2027;</w:t>
      </w:r>
    </w:p>
    <w:p w14:paraId="55FE8840" w14:textId="77777777" w:rsidR="00EF140B" w:rsidRPr="00F4297F" w:rsidRDefault="00EF140B" w:rsidP="001C3CAC">
      <w:pPr>
        <w:pStyle w:val="Akapitzlist"/>
        <w:numPr>
          <w:ilvl w:val="0"/>
          <w:numId w:val="4"/>
        </w:numPr>
        <w:spacing w:after="0"/>
        <w:rPr>
          <w:rFonts w:cs="Arial"/>
        </w:rPr>
      </w:pPr>
      <w:r w:rsidRPr="00F4297F">
        <w:rPr>
          <w:rFonts w:cs="Arial"/>
          <w:b/>
          <w:bCs/>
        </w:rPr>
        <w:t xml:space="preserve">KM </w:t>
      </w:r>
      <w:r w:rsidRPr="00F4297F">
        <w:rPr>
          <w:rFonts w:cs="Arial"/>
        </w:rPr>
        <w:t>– Komitet Monitorujący Fundusze Europejskie;</w:t>
      </w:r>
    </w:p>
    <w:p w14:paraId="20BDD38C" w14:textId="77777777" w:rsidR="00EF140B" w:rsidRPr="00636552" w:rsidRDefault="00EF140B" w:rsidP="001C3CAC">
      <w:pPr>
        <w:numPr>
          <w:ilvl w:val="0"/>
          <w:numId w:val="4"/>
        </w:numPr>
        <w:tabs>
          <w:tab w:val="center" w:pos="4536"/>
          <w:tab w:val="right" w:pos="9072"/>
        </w:tabs>
        <w:spacing w:before="40" w:after="40"/>
        <w:rPr>
          <w:rFonts w:eastAsia="Calibri" w:cs="Arial"/>
          <w:bCs/>
        </w:rPr>
      </w:pPr>
      <w:r w:rsidRPr="00636552">
        <w:rPr>
          <w:rFonts w:eastAsia="Calibri" w:cs="Arial"/>
          <w:b/>
        </w:rPr>
        <w:t>KOF-M</w:t>
      </w:r>
      <w:r w:rsidRPr="00636552">
        <w:rPr>
          <w:rFonts w:eastAsia="Calibri" w:cs="Arial"/>
          <w:bCs/>
        </w:rPr>
        <w:t xml:space="preserve"> – Karta oceny formalno-merytorycznej wniosku o dofinansowanie projektu nie</w:t>
      </w:r>
      <w:r w:rsidRPr="00636552">
        <w:rPr>
          <w:rFonts w:cs="Arial"/>
        </w:rPr>
        <w:t xml:space="preserve">konkurencyjnego </w:t>
      </w:r>
      <w:proofErr w:type="spellStart"/>
      <w:r w:rsidRPr="00636552">
        <w:rPr>
          <w:rFonts w:cs="Arial"/>
        </w:rPr>
        <w:t>FEWiM</w:t>
      </w:r>
      <w:proofErr w:type="spellEnd"/>
      <w:r w:rsidRPr="00636552">
        <w:rPr>
          <w:rFonts w:cs="Arial"/>
        </w:rPr>
        <w:t xml:space="preserve"> 2021-2027</w:t>
      </w:r>
      <w:r w:rsidRPr="00636552">
        <w:rPr>
          <w:rFonts w:eastAsia="Calibri" w:cs="Arial"/>
          <w:bCs/>
        </w:rPr>
        <w:t>;</w:t>
      </w:r>
    </w:p>
    <w:p w14:paraId="2D696299" w14:textId="77777777" w:rsidR="00EF140B" w:rsidRDefault="00EF140B" w:rsidP="001C3CAC">
      <w:pPr>
        <w:numPr>
          <w:ilvl w:val="0"/>
          <w:numId w:val="4"/>
        </w:numPr>
        <w:tabs>
          <w:tab w:val="center" w:pos="4536"/>
          <w:tab w:val="right" w:pos="9072"/>
        </w:tabs>
        <w:spacing w:before="40" w:after="40"/>
        <w:rPr>
          <w:rFonts w:eastAsia="Calibri" w:cs="Arial"/>
          <w:bCs/>
        </w:rPr>
      </w:pPr>
      <w:r w:rsidRPr="00E06418">
        <w:rPr>
          <w:rFonts w:eastAsia="Calibri" w:cs="Arial"/>
          <w:b/>
        </w:rPr>
        <w:t>KOP</w:t>
      </w:r>
      <w:r w:rsidRPr="00E06418">
        <w:rPr>
          <w:rFonts w:eastAsia="Calibri" w:cs="Arial"/>
          <w:bCs/>
        </w:rPr>
        <w:t xml:space="preserve"> - Komisja Oceny Projektów, o której mowa w art. 53 ustawy wdrożeniowej;</w:t>
      </w:r>
    </w:p>
    <w:p w14:paraId="3EF85F06" w14:textId="77777777" w:rsidR="00EF140B" w:rsidRPr="00E06418" w:rsidRDefault="00EF140B" w:rsidP="001C3CAC">
      <w:pPr>
        <w:numPr>
          <w:ilvl w:val="0"/>
          <w:numId w:val="4"/>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Pr="00737D1D">
        <w:rPr>
          <w:rFonts w:cs="Arial"/>
        </w:rPr>
        <w:t>Instrukcja (merytoryczna) wypełniania wniosku o</w:t>
      </w:r>
      <w:r>
        <w:rPr>
          <w:rFonts w:cs="Arial"/>
        </w:rPr>
        <w:t> </w:t>
      </w:r>
      <w:r w:rsidRPr="00737D1D">
        <w:rPr>
          <w:rFonts w:cs="Arial"/>
        </w:rPr>
        <w:t>dofinansowanie projektu współfinansowanego z EFS+ w ramach Programu Fundusze Europejskie dla</w:t>
      </w:r>
      <w:r>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w:t>
      </w:r>
      <w:r>
        <w:rPr>
          <w:rFonts w:cs="Arial"/>
        </w:rPr>
        <w:t>;</w:t>
      </w:r>
    </w:p>
    <w:p w14:paraId="5962420B" w14:textId="77777777" w:rsidR="00EF140B" w:rsidRPr="00E06418" w:rsidRDefault="00EF140B" w:rsidP="001C3CAC">
      <w:pPr>
        <w:numPr>
          <w:ilvl w:val="0"/>
          <w:numId w:val="4"/>
        </w:numPr>
        <w:tabs>
          <w:tab w:val="center" w:pos="4536"/>
          <w:tab w:val="right" w:pos="9072"/>
        </w:tabs>
        <w:spacing w:before="40" w:after="40"/>
        <w:rPr>
          <w:rFonts w:eastAsia="Calibri" w:cs="Arial"/>
          <w:bCs/>
        </w:rPr>
      </w:pPr>
      <w:r w:rsidRPr="00E06418">
        <w:rPr>
          <w:rFonts w:eastAsia="Calibri" w:cs="Arial"/>
          <w:b/>
        </w:rPr>
        <w:t>SOWA EFS</w:t>
      </w:r>
      <w:r w:rsidRPr="00E06418">
        <w:rPr>
          <w:rFonts w:eastAsia="Calibri" w:cs="Arial"/>
          <w:bCs/>
        </w:rPr>
        <w:t xml:space="preserve"> – </w:t>
      </w:r>
      <w:r w:rsidR="00993BF8" w:rsidRPr="00993BF8">
        <w:rPr>
          <w:rFonts w:eastAsia="Calibri" w:cs="Arial"/>
          <w:bCs/>
        </w:rPr>
        <w:t>System Obsługi Wniosków Aplikacyjnych Europejski Fundusz Społeczny Plus</w:t>
      </w:r>
    </w:p>
    <w:p w14:paraId="298C8A2C" w14:textId="77777777" w:rsidR="00021AB0" w:rsidRPr="00C84286" w:rsidRDefault="00EF140B" w:rsidP="001C3CAC">
      <w:pPr>
        <w:numPr>
          <w:ilvl w:val="0"/>
          <w:numId w:val="4"/>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Programu </w:t>
      </w:r>
      <w:r w:rsidR="003907ED">
        <w:rPr>
          <w:rFonts w:eastAsia="Calibri" w:cs="Arial"/>
          <w:bCs/>
        </w:rPr>
        <w:t xml:space="preserve">Fundusze Europejskie dla </w:t>
      </w:r>
      <w:proofErr w:type="spellStart"/>
      <w:r w:rsidR="003907ED">
        <w:rPr>
          <w:rFonts w:eastAsia="Calibri" w:cs="Arial"/>
          <w:bCs/>
        </w:rPr>
        <w:t>Warmi</w:t>
      </w:r>
      <w:proofErr w:type="spellEnd"/>
      <w:r w:rsidR="003907ED">
        <w:rPr>
          <w:rFonts w:eastAsia="Calibri" w:cs="Arial"/>
          <w:bCs/>
        </w:rPr>
        <w:t xml:space="preserve"> </w:t>
      </w:r>
      <w:r w:rsidR="002D615F">
        <w:rPr>
          <w:rFonts w:eastAsia="Calibri" w:cs="Arial"/>
          <w:bCs/>
        </w:rPr>
        <w:br/>
      </w:r>
      <w:r w:rsidR="003907ED">
        <w:rPr>
          <w:rFonts w:eastAsia="Calibri" w:cs="Arial"/>
          <w:bCs/>
        </w:rPr>
        <w:t>i Mazur.</w:t>
      </w:r>
    </w:p>
    <w:p w14:paraId="0F9D7C39" w14:textId="77777777" w:rsidR="00C84286" w:rsidRDefault="00C84286" w:rsidP="001C3CAC">
      <w:pPr>
        <w:spacing w:line="259" w:lineRule="auto"/>
      </w:pPr>
      <w:bookmarkStart w:id="1" w:name="_Hlk136513649"/>
      <w:r>
        <w:br w:type="page"/>
      </w:r>
    </w:p>
    <w:p w14:paraId="27B36010" w14:textId="77777777" w:rsidR="005448A6" w:rsidRPr="005448A6" w:rsidRDefault="005448A6" w:rsidP="00CC3129">
      <w:pPr>
        <w:pStyle w:val="Rozdzia-K"/>
        <w:ind w:left="0"/>
        <w:jc w:val="left"/>
      </w:pPr>
      <w:bookmarkStart w:id="2" w:name="_Toc137810476"/>
      <w:bookmarkStart w:id="3" w:name="_Toc134446790"/>
      <w:bookmarkEnd w:id="1"/>
      <w:r w:rsidRPr="005448A6">
        <w:lastRenderedPageBreak/>
        <w:t>Informacje ogólne</w:t>
      </w:r>
      <w:bookmarkEnd w:id="2"/>
      <w:r w:rsidR="00CC3129">
        <w:t xml:space="preserve"> </w:t>
      </w:r>
    </w:p>
    <w:p w14:paraId="277918FC" w14:textId="77777777" w:rsidR="005448A6" w:rsidRPr="005448A6" w:rsidRDefault="005448A6" w:rsidP="00CC3129">
      <w:pPr>
        <w:pStyle w:val="Podrozdzia-K"/>
        <w:spacing w:line="480" w:lineRule="auto"/>
        <w:ind w:left="340"/>
        <w:jc w:val="left"/>
      </w:pPr>
      <w:bookmarkStart w:id="4" w:name="_Toc137810477"/>
      <w:r w:rsidRPr="005448A6">
        <w:t>Regulamin wyboru projektów</w:t>
      </w:r>
      <w:bookmarkEnd w:id="4"/>
    </w:p>
    <w:p w14:paraId="6BC046D9" w14:textId="77777777" w:rsidR="005448A6" w:rsidRPr="005448A6" w:rsidRDefault="005448A6" w:rsidP="001C3CAC">
      <w:pPr>
        <w:numPr>
          <w:ilvl w:val="0"/>
          <w:numId w:val="7"/>
        </w:numPr>
        <w:autoSpaceDE w:val="0"/>
        <w:autoSpaceDN w:val="0"/>
        <w:adjustRightInd w:val="0"/>
        <w:spacing w:after="0"/>
        <w:rPr>
          <w:rFonts w:cs="Arial"/>
        </w:rPr>
      </w:pPr>
      <w:r w:rsidRPr="005448A6">
        <w:rPr>
          <w:rFonts w:cs="Arial"/>
        </w:rPr>
        <w:t xml:space="preserve">Celem niniejszego regulaminu wyboru projektów jest dostarczenie wnioskodawcy informacji niezbędnych do przygotowywania wniosku o dofinansowanie projektu, a następnie jego złożenia do oceny w ramach naboru niekonkurencyjnego nr </w:t>
      </w:r>
      <w:r w:rsidRPr="005448A6">
        <w:rPr>
          <w:rFonts w:cs="Arial"/>
          <w:b/>
          <w:color w:val="000000"/>
        </w:rPr>
        <w:t xml:space="preserve">FEWM.06.03-IZ.00-001/23 </w:t>
      </w:r>
      <w:r w:rsidRPr="005448A6">
        <w:rPr>
          <w:rFonts w:cs="Arial"/>
        </w:rPr>
        <w:t>ogłoszonego przez Urząd Marszałkowski Województwa Warmińsko-Mazurskiego.</w:t>
      </w:r>
    </w:p>
    <w:p w14:paraId="4A6AE1BA" w14:textId="77777777" w:rsidR="005448A6" w:rsidRPr="005448A6" w:rsidRDefault="005448A6" w:rsidP="001C3CAC">
      <w:pPr>
        <w:numPr>
          <w:ilvl w:val="0"/>
          <w:numId w:val="7"/>
        </w:numPr>
        <w:autoSpaceDE w:val="0"/>
        <w:autoSpaceDN w:val="0"/>
        <w:adjustRightInd w:val="0"/>
        <w:spacing w:after="0"/>
        <w:rPr>
          <w:rFonts w:cs="Arial"/>
        </w:rPr>
      </w:pPr>
      <w:r w:rsidRPr="005448A6">
        <w:rPr>
          <w:rFonts w:cs="Arial"/>
        </w:rPr>
        <w:t xml:space="preserve">Instytucją Zarządzającą </w:t>
      </w:r>
      <w:proofErr w:type="spellStart"/>
      <w:r w:rsidRPr="005448A6">
        <w:rPr>
          <w:rFonts w:cs="Arial"/>
        </w:rPr>
        <w:t>FEWiM</w:t>
      </w:r>
      <w:proofErr w:type="spellEnd"/>
      <w:r w:rsidRPr="005448A6">
        <w:rPr>
          <w:rFonts w:cs="Arial"/>
        </w:rPr>
        <w:t xml:space="preserve"> 2021-2027 (zwaną dalej IZ) jest Zarząd Województwa Warmińsko-Mazurskiego z siedzibą w Olsztynie przy ul. E. Plater 1, 10-562 Olsztyn, pełniący jednocześnie funkcję Instytucji Organizującej Nabór (zwanej dalej ION).</w:t>
      </w:r>
    </w:p>
    <w:p w14:paraId="01626FD2" w14:textId="77777777" w:rsidR="005448A6" w:rsidRPr="005448A6" w:rsidRDefault="005448A6" w:rsidP="001C3CAC">
      <w:pPr>
        <w:numPr>
          <w:ilvl w:val="0"/>
          <w:numId w:val="7"/>
        </w:numPr>
        <w:autoSpaceDE w:val="0"/>
        <w:autoSpaceDN w:val="0"/>
        <w:adjustRightInd w:val="0"/>
        <w:spacing w:after="0"/>
        <w:rPr>
          <w:rFonts w:cs="Arial"/>
        </w:rPr>
      </w:pPr>
      <w:r w:rsidRPr="005448A6">
        <w:rPr>
          <w:rFonts w:cs="Arial"/>
        </w:rPr>
        <w:t>ION zastrzega sobie prawo do wprowadzania zmian w niniejszym regulaminie w trakcie trwania naboru, jeśli będzie to konieczne i uzasadnione.</w:t>
      </w:r>
    </w:p>
    <w:p w14:paraId="38687733" w14:textId="77777777" w:rsidR="005448A6" w:rsidRPr="005448A6" w:rsidRDefault="005448A6" w:rsidP="001C3CAC">
      <w:pPr>
        <w:numPr>
          <w:ilvl w:val="0"/>
          <w:numId w:val="7"/>
        </w:numPr>
        <w:autoSpaceDE w:val="0"/>
        <w:autoSpaceDN w:val="0"/>
        <w:adjustRightInd w:val="0"/>
        <w:spacing w:after="0"/>
        <w:rPr>
          <w:rFonts w:cs="Arial"/>
        </w:rPr>
      </w:pPr>
      <w:r w:rsidRPr="005448A6">
        <w:rPr>
          <w:rFonts w:cs="Arial"/>
        </w:rPr>
        <w:t>W przypadku zmiany regulaminu ION powiadamia Wnioskodawcę o wprowadzonej zmianie.</w:t>
      </w:r>
    </w:p>
    <w:p w14:paraId="1AB1A3F1" w14:textId="77777777" w:rsidR="005448A6" w:rsidRPr="005448A6" w:rsidRDefault="005448A6" w:rsidP="001C3CAC">
      <w:pPr>
        <w:spacing w:after="0"/>
        <w:rPr>
          <w:rFonts w:cs="Arial"/>
          <w:bCs/>
        </w:rPr>
      </w:pPr>
      <w:r w:rsidRPr="005448A6">
        <w:rPr>
          <w:rFonts w:cs="Arial"/>
          <w:bCs/>
        </w:rPr>
        <w:t>Terminy wskazane w niniejszym dokumencie obliczane są w następujący sposób:</w:t>
      </w:r>
    </w:p>
    <w:p w14:paraId="2BEB0D46" w14:textId="326ECF6B" w:rsidR="005448A6" w:rsidRPr="005448A6" w:rsidRDefault="005448A6" w:rsidP="001C3CAC">
      <w:pPr>
        <w:spacing w:after="0"/>
        <w:rPr>
          <w:rFonts w:cs="Arial"/>
          <w:bCs/>
        </w:rPr>
      </w:pPr>
      <w:r w:rsidRPr="005448A6">
        <w:rPr>
          <w:rFonts w:cs="Arial"/>
          <w:bCs/>
        </w:rPr>
        <w:t xml:space="preserve">- Jeżeli początkiem terminu określonego w dniach jest pewne zdarzenie, przy obliczaniu tego terminu nie uwzględnia się dnia, w którym zdarzenie nastąpiło. Upływ ostatniego </w:t>
      </w:r>
      <w:r w:rsidR="003B6BC4">
        <w:rPr>
          <w:rFonts w:cs="Arial"/>
          <w:bCs/>
        </w:rPr>
        <w:br/>
      </w:r>
      <w:r w:rsidRPr="005448A6">
        <w:rPr>
          <w:rFonts w:cs="Arial"/>
          <w:bCs/>
        </w:rPr>
        <w:t>z wyznaczonej liczby dni uważa się za koniec terminu.</w:t>
      </w:r>
    </w:p>
    <w:p w14:paraId="7368FD29" w14:textId="77777777" w:rsidR="005448A6" w:rsidRPr="005448A6" w:rsidRDefault="005448A6" w:rsidP="001C3CAC">
      <w:pPr>
        <w:spacing w:after="0"/>
        <w:rPr>
          <w:rFonts w:cs="Arial"/>
          <w:bCs/>
        </w:rPr>
      </w:pPr>
      <w:r w:rsidRPr="005448A6">
        <w:rPr>
          <w:rFonts w:cs="Arial"/>
          <w:bCs/>
        </w:rPr>
        <w:t>- Jeżeli koniec terminu do wykonania czynności przypada na dzień uznany ustawowo za wolny od pracy lub na sobotę, termin upływa następnego dnia, który nie jest dniem wolnym od pracy ani sobotą.</w:t>
      </w:r>
    </w:p>
    <w:p w14:paraId="1DC4F9B8" w14:textId="77777777" w:rsidR="005448A6" w:rsidRDefault="005448A6" w:rsidP="001C3CAC">
      <w:pPr>
        <w:spacing w:after="0"/>
        <w:rPr>
          <w:rFonts w:eastAsia="Calibri" w:cs="Arial"/>
          <w:b/>
          <w:sz w:val="24"/>
          <w:szCs w:val="24"/>
        </w:rPr>
      </w:pPr>
      <w:r w:rsidRPr="005448A6">
        <w:rPr>
          <w:rFonts w:cs="Arial"/>
          <w:bCs/>
        </w:rPr>
        <w:t>Ilekroć w niniejszym dokumencie wskazuje się liczbę dni, mowa jest o dniach kalendarzowych.</w:t>
      </w:r>
    </w:p>
    <w:p w14:paraId="28ACCA02" w14:textId="77777777" w:rsidR="00A50A66" w:rsidRPr="001C3CAC" w:rsidRDefault="00A50A66" w:rsidP="00CC3129">
      <w:pPr>
        <w:pStyle w:val="Podrozdzia-K"/>
        <w:spacing w:line="480" w:lineRule="auto"/>
      </w:pPr>
      <w:bookmarkStart w:id="5" w:name="_Toc137810478"/>
      <w:r w:rsidRPr="001C3CAC">
        <w:t>Podstawa prawna i dokumenty programowe</w:t>
      </w:r>
      <w:bookmarkEnd w:id="3"/>
      <w:bookmarkEnd w:id="5"/>
    </w:p>
    <w:p w14:paraId="07CE711E" w14:textId="77777777" w:rsidR="00A50A66" w:rsidRPr="00A50A66" w:rsidRDefault="00A50A66" w:rsidP="001C3CAC">
      <w:pPr>
        <w:autoSpaceDE w:val="0"/>
        <w:autoSpaceDN w:val="0"/>
        <w:adjustRightInd w:val="0"/>
        <w:spacing w:before="120" w:after="60"/>
        <w:ind w:left="340"/>
        <w:rPr>
          <w:rFonts w:cs="Arial"/>
          <w:b/>
          <w:sz w:val="24"/>
        </w:rPr>
      </w:pPr>
      <w:r w:rsidRPr="00A50A66">
        <w:rPr>
          <w:rFonts w:cs="Arial"/>
          <w:b/>
          <w:sz w:val="24"/>
        </w:rPr>
        <w:t>Dokumenty programowe:</w:t>
      </w:r>
    </w:p>
    <w:p w14:paraId="15D63CD4" w14:textId="77777777" w:rsidR="00A50A66" w:rsidRPr="00A50A66" w:rsidRDefault="00A50A66" w:rsidP="001C3CAC">
      <w:pPr>
        <w:numPr>
          <w:ilvl w:val="0"/>
          <w:numId w:val="34"/>
        </w:numPr>
        <w:autoSpaceDE w:val="0"/>
        <w:autoSpaceDN w:val="0"/>
        <w:adjustRightInd w:val="0"/>
        <w:spacing w:after="0"/>
        <w:rPr>
          <w:rFonts w:cs="Arial"/>
        </w:rPr>
      </w:pPr>
      <w:r w:rsidRPr="00A50A66">
        <w:rPr>
          <w:rFonts w:cs="Arial"/>
        </w:rPr>
        <w:t xml:space="preserve">Umowa partnerstwa dla realizacji polityki spójności 2021-2027 w Polsce z 30 czerwca 2022 r.; </w:t>
      </w:r>
    </w:p>
    <w:p w14:paraId="56E85BF1" w14:textId="77777777" w:rsidR="00A50A66" w:rsidRPr="00A50A66" w:rsidRDefault="00A50A66" w:rsidP="001C3CAC">
      <w:pPr>
        <w:numPr>
          <w:ilvl w:val="0"/>
          <w:numId w:val="34"/>
        </w:numPr>
        <w:autoSpaceDE w:val="0"/>
        <w:autoSpaceDN w:val="0"/>
        <w:adjustRightInd w:val="0"/>
        <w:spacing w:after="0"/>
        <w:rPr>
          <w:rFonts w:cs="Arial"/>
        </w:rPr>
      </w:pPr>
      <w:r w:rsidRPr="00A50A66">
        <w:rPr>
          <w:rFonts w:cs="Arial"/>
        </w:rPr>
        <w:t>Program Fundusze Europejskie dla Warmii i Mazur (</w:t>
      </w:r>
      <w:proofErr w:type="spellStart"/>
      <w:r w:rsidRPr="00A50A66">
        <w:rPr>
          <w:rFonts w:cs="Arial"/>
        </w:rPr>
        <w:t>FEWiM</w:t>
      </w:r>
      <w:proofErr w:type="spellEnd"/>
      <w:r w:rsidRPr="00A50A66">
        <w:rPr>
          <w:rFonts w:cs="Arial"/>
        </w:rPr>
        <w:t>) 2021-2027 z grudnia 2022 r.;</w:t>
      </w:r>
    </w:p>
    <w:p w14:paraId="2B1C1EF8" w14:textId="77777777" w:rsidR="00A50A66" w:rsidRPr="00A50A66" w:rsidRDefault="00A50A66" w:rsidP="001C3CAC">
      <w:pPr>
        <w:numPr>
          <w:ilvl w:val="0"/>
          <w:numId w:val="34"/>
        </w:numPr>
        <w:autoSpaceDE w:val="0"/>
        <w:autoSpaceDN w:val="0"/>
        <w:adjustRightInd w:val="0"/>
        <w:spacing w:after="0"/>
        <w:rPr>
          <w:rFonts w:cs="Arial"/>
        </w:rPr>
      </w:pPr>
      <w:r w:rsidRPr="00A50A66">
        <w:rPr>
          <w:rFonts w:cs="Arial"/>
        </w:rPr>
        <w:t>Szczegółowy Opis Priorytetów Programu Fundusze Europejskie dla Warmii i Mazur (</w:t>
      </w:r>
      <w:proofErr w:type="spellStart"/>
      <w:r w:rsidRPr="00A50A66">
        <w:rPr>
          <w:rFonts w:cs="Arial"/>
        </w:rPr>
        <w:t>FEWiM</w:t>
      </w:r>
      <w:proofErr w:type="spellEnd"/>
      <w:r w:rsidRPr="00A50A66">
        <w:rPr>
          <w:rFonts w:cs="Arial"/>
        </w:rPr>
        <w:t>) 2021-2027, przyjęty przez Zarząd Województwa Warmińsko-Mazurskiego 4 kwietnia 2023 r.;</w:t>
      </w:r>
    </w:p>
    <w:p w14:paraId="70DCD194" w14:textId="77777777" w:rsidR="00A50A66" w:rsidRPr="001C3CAC" w:rsidRDefault="00A50A66" w:rsidP="001C3CAC">
      <w:pPr>
        <w:numPr>
          <w:ilvl w:val="0"/>
          <w:numId w:val="34"/>
        </w:numPr>
        <w:autoSpaceDE w:val="0"/>
        <w:autoSpaceDN w:val="0"/>
        <w:adjustRightInd w:val="0"/>
        <w:spacing w:after="0"/>
        <w:rPr>
          <w:rFonts w:cs="Arial"/>
        </w:rPr>
      </w:pPr>
      <w:r w:rsidRPr="00A50A66">
        <w:rPr>
          <w:rFonts w:cs="Arial"/>
        </w:rPr>
        <w:lastRenderedPageBreak/>
        <w:t xml:space="preserve">Ocena zgodności projektu programu regionalnego na lata 2021-2027 Fundusze Europejskie dla Warmii i Mazur z zasadą „do no </w:t>
      </w:r>
      <w:proofErr w:type="spellStart"/>
      <w:r w:rsidRPr="00A50A66">
        <w:rPr>
          <w:rFonts w:cs="Arial"/>
        </w:rPr>
        <w:t>significant</w:t>
      </w:r>
      <w:proofErr w:type="spellEnd"/>
      <w:r w:rsidRPr="00A50A66">
        <w:rPr>
          <w:rFonts w:cs="Arial"/>
        </w:rPr>
        <w:t xml:space="preserve"> </w:t>
      </w:r>
      <w:proofErr w:type="spellStart"/>
      <w:r w:rsidRPr="00A50A66">
        <w:rPr>
          <w:rFonts w:cs="Arial"/>
        </w:rPr>
        <w:t>harm</w:t>
      </w:r>
      <w:proofErr w:type="spellEnd"/>
      <w:r w:rsidRPr="00A50A66">
        <w:rPr>
          <w:rFonts w:cs="Arial"/>
        </w:rPr>
        <w:t>” (DNSH)</w:t>
      </w:r>
      <w:r w:rsidRPr="00A50A66">
        <w:rPr>
          <w:rFonts w:asciiTheme="minorHAnsi" w:eastAsiaTheme="minorEastAsia" w:hAnsiTheme="minorHAnsi" w:cstheme="minorHAnsi"/>
          <w:i/>
        </w:rPr>
        <w:t xml:space="preserve"> </w:t>
      </w:r>
      <w:r w:rsidRPr="00A50A66">
        <w:rPr>
          <w:rFonts w:cs="Arial"/>
          <w:iCs/>
        </w:rPr>
        <w:t>), czyli „nie czyń poważnych szkód”</w:t>
      </w:r>
      <w:r w:rsidRPr="00A50A66">
        <w:rPr>
          <w:rFonts w:cs="Arial"/>
        </w:rPr>
        <w:t xml:space="preserve">. </w:t>
      </w:r>
    </w:p>
    <w:p w14:paraId="62611186" w14:textId="77777777" w:rsidR="00A50A66" w:rsidRPr="00A50A66" w:rsidRDefault="00A50A66" w:rsidP="001C3CAC">
      <w:pPr>
        <w:autoSpaceDE w:val="0"/>
        <w:autoSpaceDN w:val="0"/>
        <w:adjustRightInd w:val="0"/>
        <w:spacing w:before="240" w:after="60"/>
        <w:ind w:left="340"/>
        <w:rPr>
          <w:rFonts w:cs="Arial"/>
          <w:b/>
          <w:sz w:val="24"/>
        </w:rPr>
      </w:pPr>
      <w:r w:rsidRPr="00A50A66">
        <w:rPr>
          <w:rFonts w:cs="Arial"/>
          <w:b/>
          <w:sz w:val="24"/>
        </w:rPr>
        <w:t>Akty prawne:</w:t>
      </w:r>
    </w:p>
    <w:p w14:paraId="40EA3E23" w14:textId="77777777" w:rsidR="00A50A66" w:rsidRPr="00A50A66" w:rsidRDefault="00A50A66" w:rsidP="001C3CAC">
      <w:pPr>
        <w:numPr>
          <w:ilvl w:val="0"/>
          <w:numId w:val="9"/>
        </w:numPr>
        <w:autoSpaceDE w:val="0"/>
        <w:autoSpaceDN w:val="0"/>
        <w:adjustRightInd w:val="0"/>
        <w:spacing w:after="0"/>
        <w:rPr>
          <w:rFonts w:cs="Arial"/>
        </w:rPr>
      </w:pPr>
      <w:bookmarkStart w:id="6" w:name="_Toc417632190"/>
      <w:bookmarkStart w:id="7" w:name="_Toc427073601"/>
      <w:bookmarkStart w:id="8" w:name="_Toc427236062"/>
      <w:bookmarkStart w:id="9" w:name="_Toc427236851"/>
      <w:r w:rsidRPr="00A50A66">
        <w:rPr>
          <w:rFonts w:cs="Arial"/>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755E933D"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Parlamentu Europejskiego i Rady (UE) 2021/1057 z dnia 24 czerwca 2021r. ustanawiające Europejski Fundusz Społeczny Plus (EFS+) oraz uchylające rozporządzenie (UE) nr 1296/2013, zwanego dalej rozporządzeniem EFS+;</w:t>
      </w:r>
    </w:p>
    <w:p w14:paraId="484372C9"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Parlamentu Europejskiego i Rady (UE) 2016/679 z dnia 27 kwietnia 2016 r. w sprawie ochrony osób fizycznych w związku z przetwarzaniem danych osobowych i w sprawie swobodnego przepływu takich danych oraz uchylenia dyrektywy 95/46/WE zwanego dalej „RODO”;</w:t>
      </w:r>
    </w:p>
    <w:p w14:paraId="5E976AF3"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p>
    <w:p w14:paraId="71EED5A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Parlamentu Europejskiego i Rady (UE) 2020/852 z dnia 18 czerwca 2020 r. w sprawie ustanowienia ram ułatwiających zrównoważone inwestycje, zmieniające rozporządzenie (UE) 2019/2088;</w:t>
      </w:r>
    </w:p>
    <w:p w14:paraId="728643CC"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delegowane KE (UE) nr 240/2014 z dnia 7 stycznia 2014 r. w sprawie europejskiego kodeksu postępowania w zakresie partnerstwa w ramach europejskich funduszy strukturalnych i inwestycyjnych;</w:t>
      </w:r>
    </w:p>
    <w:p w14:paraId="23E3DFDF"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Rozporządzenie Parlamentu Europejskiego i Rady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50A66">
        <w:rPr>
          <w:rFonts w:cs="Arial"/>
        </w:rPr>
        <w:t>Euratom</w:t>
      </w:r>
      <w:proofErr w:type="spellEnd"/>
      <w:r w:rsidRPr="00A50A66">
        <w:rPr>
          <w:rFonts w:cs="Arial"/>
        </w:rPr>
        <w:t>) nr 966/2012;</w:t>
      </w:r>
    </w:p>
    <w:p w14:paraId="7810441A"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lastRenderedPageBreak/>
        <w:t xml:space="preserve">Rozporządzenie Komisji (UE) nr 651/2014 z dnia 17 czerwca 2014 r. uznające niektóre rodzaje pomocy za zgodne z rynkiem wewnętrznym w zastosowaniu art. 107 i 108 Traktatu; </w:t>
      </w:r>
    </w:p>
    <w:p w14:paraId="23118E56"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Komisji (UE) nr 1407/2013 z dnia 18 grudnia 2013 r. w sprawie stosowania art.107 i 108 Traktatu o funkcjonowaniu Unii Europejskiej do pomocy de </w:t>
      </w:r>
      <w:proofErr w:type="spellStart"/>
      <w:r w:rsidRPr="00A50A66">
        <w:rPr>
          <w:rFonts w:cs="Arial"/>
        </w:rPr>
        <w:t>minimis</w:t>
      </w:r>
      <w:proofErr w:type="spellEnd"/>
      <w:r w:rsidRPr="00A50A66">
        <w:rPr>
          <w:rFonts w:cs="Arial"/>
        </w:rPr>
        <w:t>;</w:t>
      </w:r>
    </w:p>
    <w:p w14:paraId="738E3A8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Rozporządzenie Rady UE (UE) NR 833/2014 z dnia 31 lipca 2014 r. dotyczące środków ograniczających w związku z działaniami Rosji destabilizującymi sytuację na Ukrainie; </w:t>
      </w:r>
    </w:p>
    <w:p w14:paraId="326748B9"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Rozporządzenie Rady (UE) nr 269/2014 z dnia 17 marca 2014 r. w sprawie środków ograniczających w odniesieniu do działań podważających integralność terytorialną, suwerenność i niezależność Ukrainy lub im zagrażających; </w:t>
      </w:r>
    </w:p>
    <w:p w14:paraId="3F5D9D6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Rady (WE) nr 765/2006 z dnia 18 maja 2006 r. dotyczące środków ograniczających w związku z sytuacją na Białorusi i udziałem Białorusi w agresji Rosji wobec Ukrainy;</w:t>
      </w:r>
    </w:p>
    <w:p w14:paraId="056B404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Konwencja o prawach osób niepełnosprawnych, sporządzona w Nowym Jorku dnia 13 grudnia 2006 r.; </w:t>
      </w:r>
    </w:p>
    <w:p w14:paraId="7E8C7897"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Karta praw podstawowych Unii Europejskiej z dnia 6 czerwca 2016 r.;</w:t>
      </w:r>
    </w:p>
    <w:p w14:paraId="6DFB3289"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Konwencja o Prawach Dziecka przyjęta przez Zgromadzenie Ogólne Narodów Zjednoczonych dnia 20 listopada 1989 r.;</w:t>
      </w:r>
    </w:p>
    <w:p w14:paraId="58CEB15F"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28 kwietnia 2022 r. o zasadach realizacji zadań finansowanych ze środków europejskich w perspektywie finansowej 2021–2027, zwana dalej ustawą wdrożeniową;</w:t>
      </w:r>
    </w:p>
    <w:p w14:paraId="0C77703E"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24 kwietnia 2003 r. o działalności pożytku publicznego i wolontariacie; </w:t>
      </w:r>
    </w:p>
    <w:p w14:paraId="5D19AF1F"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10 maja 2018 r. o ochronie danych osobowych;</w:t>
      </w:r>
    </w:p>
    <w:p w14:paraId="3D6025BC"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23 kwietnia 1964 r. – Kodeks cywilny; </w:t>
      </w:r>
    </w:p>
    <w:p w14:paraId="2C945F3C"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27 sierpnia 2009 roku o finansach publicznych; </w:t>
      </w:r>
    </w:p>
    <w:p w14:paraId="531654A4"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11 września 2019 r. Prawo zamówień publicznych, zwana dalej ustawą PZP;</w:t>
      </w:r>
    </w:p>
    <w:p w14:paraId="1AB9FB3C"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30 kwietnia 2004 r. o postępowaniu w sprawach dotyczących pomocy publicznej;</w:t>
      </w:r>
    </w:p>
    <w:p w14:paraId="6BE7F699"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29 września 1994 r. o rachunkowości;</w:t>
      </w:r>
    </w:p>
    <w:p w14:paraId="3CEC489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13 października 1998 r. o systemie ubezpieczeń społecznych; </w:t>
      </w:r>
    </w:p>
    <w:p w14:paraId="4FA8954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11 marca 2004 r. o podatku od towarów i usług; </w:t>
      </w:r>
    </w:p>
    <w:p w14:paraId="1172A965"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27 sierpnia 1997 r. o rehabilitacji zawodowej i społecznej oraz zatrudnianiu osób niepełnosprawnych; </w:t>
      </w:r>
    </w:p>
    <w:p w14:paraId="76D945CE"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15 czerwca 2012 r. o skutkach powierzania wykonywania pracy cudzoziemcom przebywającym wbrew przepisom na terytorium Rzeczpospolitej Polskiej; </w:t>
      </w:r>
    </w:p>
    <w:p w14:paraId="0857DFEF"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lastRenderedPageBreak/>
        <w:t>Ustawa z dnia 28 października 2002 r. o odpowiedzialności podmiotów zbiorowych za czyny zabronione pod groźbą kary;</w:t>
      </w:r>
    </w:p>
    <w:p w14:paraId="2E367D1C"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26 czerwca 1974 r. Kodeks pracy;</w:t>
      </w:r>
    </w:p>
    <w:p w14:paraId="7B6A783B"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9 lipca 2003 r. o zatrudnianiu pracowników; </w:t>
      </w:r>
    </w:p>
    <w:p w14:paraId="3E936033"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13 kwietnia 2022 r. o szczególnych rozwiązaniach w zakresie przeciwdziałania wspieraniu agresji na Ukrainę oraz służących ochronie bezpieczeństwa narodowego;</w:t>
      </w:r>
    </w:p>
    <w:p w14:paraId="36DE6C9B"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Ustawa z dnia 30 sierpnia 2002r. Prawo o postępowaniu przed sądami administracyjnymi; </w:t>
      </w:r>
    </w:p>
    <w:p w14:paraId="0DF93540"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Ustawa z dnia  14 czerwca 1960 roku – Kodeks Postępowania Administracyjnego;</w:t>
      </w:r>
    </w:p>
    <w:p w14:paraId="2C7CA1E8"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Rozporządzenie Ministra Rozwoju i Finansów z dnia 21 września 2022 </w:t>
      </w:r>
      <w:proofErr w:type="spellStart"/>
      <w:r w:rsidRPr="00A50A66">
        <w:rPr>
          <w:rFonts w:cs="Arial"/>
        </w:rPr>
        <w:t>r.w</w:t>
      </w:r>
      <w:proofErr w:type="spellEnd"/>
      <w:r w:rsidRPr="00A50A66">
        <w:rPr>
          <w:rFonts w:cs="Arial"/>
        </w:rPr>
        <w:t xml:space="preserve"> sprawie zaliczek w ramach programów finansowanych z udziałem środków europejskich;</w:t>
      </w:r>
    </w:p>
    <w:p w14:paraId="445C09F6"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 Rozporządzenie Ministra Finansów z dnia 18 stycznia 2018 r. w sprawie rejestru podmiotów wykluczonych z możliwości otrzymania środków przeznaczonych na realizację programów finansowanych z udziałem środków europejskich; </w:t>
      </w:r>
    </w:p>
    <w:p w14:paraId="19F7038D"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 xml:space="preserve">Rozporządzenie Ministra Funduszy i Polityki Regionalnej z dnia 20 grudnia 2022 r. w sprawie udzielania pomocy de </w:t>
      </w:r>
      <w:proofErr w:type="spellStart"/>
      <w:r w:rsidRPr="00A50A66">
        <w:rPr>
          <w:rFonts w:cs="Arial"/>
        </w:rPr>
        <w:t>minimis</w:t>
      </w:r>
      <w:proofErr w:type="spellEnd"/>
      <w:r w:rsidRPr="00A50A66">
        <w:rPr>
          <w:rFonts w:cs="Arial"/>
        </w:rPr>
        <w:t xml:space="preserve"> oraz pomocy publicznej w ramach programów finansowanych z Europejskiego Funduszu Społecznego Plus (EFS+) na lata 2021–2027;</w:t>
      </w:r>
    </w:p>
    <w:p w14:paraId="34500241" w14:textId="77777777" w:rsidR="00A50A66" w:rsidRPr="00A50A66" w:rsidRDefault="00A50A66" w:rsidP="001C3CAC">
      <w:pPr>
        <w:numPr>
          <w:ilvl w:val="0"/>
          <w:numId w:val="38"/>
        </w:numPr>
        <w:autoSpaceDE w:val="0"/>
        <w:autoSpaceDN w:val="0"/>
        <w:adjustRightInd w:val="0"/>
        <w:spacing w:after="0"/>
        <w:rPr>
          <w:rFonts w:cs="Arial"/>
        </w:rPr>
      </w:pPr>
      <w:r w:rsidRPr="00A50A66">
        <w:rPr>
          <w:rFonts w:cs="Arial"/>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p>
    <w:p w14:paraId="7C733CC5" w14:textId="77777777" w:rsidR="00A50A66" w:rsidRPr="00A50A66" w:rsidRDefault="00A50A66" w:rsidP="001C3CAC">
      <w:pPr>
        <w:autoSpaceDE w:val="0"/>
        <w:autoSpaceDN w:val="0"/>
        <w:adjustRightInd w:val="0"/>
        <w:spacing w:before="240" w:after="60"/>
        <w:ind w:left="340"/>
        <w:rPr>
          <w:rFonts w:cs="Arial"/>
          <w:b/>
          <w:sz w:val="24"/>
        </w:rPr>
      </w:pPr>
      <w:r w:rsidRPr="00A50A66">
        <w:rPr>
          <w:rFonts w:cs="Arial"/>
          <w:b/>
          <w:sz w:val="24"/>
        </w:rPr>
        <w:t>Wykaz wytycznych</w:t>
      </w:r>
      <w:r w:rsidRPr="00A50A66">
        <w:rPr>
          <w:rFonts w:cs="Arial"/>
          <w:b/>
          <w:sz w:val="24"/>
          <w:vertAlign w:val="superscript"/>
        </w:rPr>
        <w:footnoteReference w:id="1"/>
      </w:r>
      <w:r w:rsidRPr="00A50A66">
        <w:rPr>
          <w:rFonts w:cs="Arial"/>
          <w:b/>
          <w:sz w:val="24"/>
        </w:rPr>
        <w:t>:</w:t>
      </w:r>
      <w:bookmarkEnd w:id="6"/>
      <w:bookmarkEnd w:id="7"/>
      <w:bookmarkEnd w:id="8"/>
      <w:bookmarkEnd w:id="9"/>
    </w:p>
    <w:p w14:paraId="6BEF4481" w14:textId="743A1EE8" w:rsidR="00A50A66" w:rsidRPr="00C63538" w:rsidRDefault="00A50A66" w:rsidP="00C63538">
      <w:pPr>
        <w:pStyle w:val="Akapitzlist"/>
        <w:numPr>
          <w:ilvl w:val="0"/>
          <w:numId w:val="42"/>
        </w:numPr>
        <w:autoSpaceDE w:val="0"/>
        <w:autoSpaceDN w:val="0"/>
        <w:adjustRightInd w:val="0"/>
        <w:spacing w:after="0"/>
        <w:ind w:left="357" w:hanging="357"/>
        <w:rPr>
          <w:rFonts w:cs="Arial"/>
        </w:rPr>
      </w:pPr>
      <w:r w:rsidRPr="00C63538">
        <w:rPr>
          <w:rFonts w:cs="Arial"/>
        </w:rPr>
        <w:t xml:space="preserve">Wytyczne dotyczące realizacji projektów z udziałem środków Europejskiego Funduszu Społecznego Plus w regionalnych programach na lata 2021-2027 z dnia 15 marca 2023 r.; </w:t>
      </w:r>
    </w:p>
    <w:p w14:paraId="5523FB47"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 xml:space="preserve">Wytyczne dotyczące wyboru projektów na lata 2021-2027 z dnia 12 października 2022 r.; </w:t>
      </w:r>
    </w:p>
    <w:p w14:paraId="606BBAB8"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 xml:space="preserve">Wytyczne dotyczące kwalifikowalności wydatków na lata 2021-2027  z dnia 18 listopada 2022 r., zwane dalej Wytycznymi kwalifikowalności; </w:t>
      </w:r>
    </w:p>
    <w:p w14:paraId="1FE6FC36"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realizacji zasad równościowych w ramach funduszy unijnych na lata 2021-2027 z dnia 29 grudnia 2022 r., zwane dalej Wytycznymi równościowymi;</w:t>
      </w:r>
    </w:p>
    <w:p w14:paraId="7B667583"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szczegółowego opisu priorytetów (SZOP) krajowych i regionalnych programów na lata 2021-2027 z dnia 14 września 2022 r.;</w:t>
      </w:r>
    </w:p>
    <w:p w14:paraId="24B710E3"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lastRenderedPageBreak/>
        <w:t>Wytyczne dotyczące realizacji zasady partnerstwa na lata 2021-2027 z dnia 24 października 2022 r.;</w:t>
      </w:r>
    </w:p>
    <w:p w14:paraId="1E0F9654"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warunków księgowania wydatków oraz przygotowania prognoz wniosków o płatność do Komisji Europejskiej w ramach programów polityki spójności na lata 2021-2027 z dnia 20 września 2022 r.;</w:t>
      </w:r>
    </w:p>
    <w:p w14:paraId="5706E164"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 xml:space="preserve">Wytyczne dotyczące komitetów monitorujących na lata 2021-2027  z dnia 21 września 2022 r.; </w:t>
      </w:r>
    </w:p>
    <w:p w14:paraId="3E01A11B"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ewaluacji polityki spójności na lata 2021-2027 z dnia 24 sierpnia 2022 r.;</w:t>
      </w:r>
    </w:p>
    <w:p w14:paraId="5F8E523D"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monitorowania postępu rzeczowego realizacji programów na lata 2021-2027 z dnia 12 października 2022 r.;</w:t>
      </w:r>
    </w:p>
    <w:p w14:paraId="71F5C84C"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kontroli realizacji programów polityki spójności na lata 2021-2027 z dnia 26 października 2022 r.;</w:t>
      </w:r>
    </w:p>
    <w:p w14:paraId="7D11F927"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korzystania z usług ekspertów w programach na lata 2021-2027 z dnia 30 listopada 2022 r.;</w:t>
      </w:r>
    </w:p>
    <w:p w14:paraId="35903C96"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warunków gromadzenia i przekazywania danych w postaci elektronicznej na lata 2021-2027 z dnia 25 stycznia 2023 r.;</w:t>
      </w:r>
    </w:p>
    <w:p w14:paraId="79712439" w14:textId="77777777" w:rsidR="00A50A66" w:rsidRPr="00A50A66"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informacji i promocji Funduszy Europejskich na lata 2021-2027 z dnia 19 kwietnia 2023 r.;</w:t>
      </w:r>
    </w:p>
    <w:p w14:paraId="0487A7D4" w14:textId="77777777" w:rsidR="00A50A66" w:rsidRPr="001C3CAC" w:rsidRDefault="00A50A66" w:rsidP="00C63538">
      <w:pPr>
        <w:numPr>
          <w:ilvl w:val="0"/>
          <w:numId w:val="42"/>
        </w:numPr>
        <w:autoSpaceDE w:val="0"/>
        <w:autoSpaceDN w:val="0"/>
        <w:adjustRightInd w:val="0"/>
        <w:spacing w:after="0"/>
        <w:ind w:left="357" w:hanging="357"/>
        <w:rPr>
          <w:rFonts w:cs="Arial"/>
        </w:rPr>
      </w:pPr>
      <w:r w:rsidRPr="00A50A66">
        <w:rPr>
          <w:rFonts w:cs="Arial"/>
        </w:rPr>
        <w:t>Wytyczne dotyczące realizacji zasady partnerstwa na lata 2021-2027 z dnia 24 października 2022 r.</w:t>
      </w:r>
    </w:p>
    <w:p w14:paraId="633E3313" w14:textId="16D67FA4" w:rsidR="005400E1" w:rsidRDefault="005400E1" w:rsidP="001C3CAC">
      <w:pPr>
        <w:pStyle w:val="Nagwek-K"/>
        <w:ind w:left="340"/>
      </w:pPr>
      <w:r w:rsidRPr="005400E1">
        <w:t>Wykaz aktów prawnych związanych z przedmiotem naboru:</w:t>
      </w:r>
    </w:p>
    <w:p w14:paraId="3DEB7299" w14:textId="77777777" w:rsidR="00937C74" w:rsidRDefault="00937C74" w:rsidP="001C3CAC">
      <w:pPr>
        <w:pStyle w:val="Nagwek-K"/>
        <w:ind w:left="340"/>
      </w:pPr>
    </w:p>
    <w:p w14:paraId="66D88E06" w14:textId="12FEEE9F" w:rsidR="00F73D62" w:rsidRPr="00F73D62" w:rsidRDefault="00F73D62" w:rsidP="00F73D62">
      <w:pPr>
        <w:pStyle w:val="Akapitzlist"/>
        <w:numPr>
          <w:ilvl w:val="0"/>
          <w:numId w:val="44"/>
        </w:numPr>
        <w:autoSpaceDE w:val="0"/>
        <w:autoSpaceDN w:val="0"/>
        <w:adjustRightInd w:val="0"/>
        <w:spacing w:after="0"/>
        <w:ind w:left="357" w:hanging="357"/>
        <w:rPr>
          <w:rFonts w:cs="Arial"/>
        </w:rPr>
      </w:pPr>
      <w:r w:rsidRPr="00F73D62">
        <w:rPr>
          <w:rFonts w:cs="Arial"/>
        </w:rPr>
        <w:t>Ustawa z dnia 14 grudnia 2016 r. – Prawo oświatowe;</w:t>
      </w:r>
    </w:p>
    <w:p w14:paraId="1CCD60F6" w14:textId="55CE6936" w:rsidR="00F73D62" w:rsidRPr="00F73D62" w:rsidRDefault="00F73D62" w:rsidP="00F73D62">
      <w:pPr>
        <w:pStyle w:val="Akapitzlist"/>
        <w:numPr>
          <w:ilvl w:val="0"/>
          <w:numId w:val="44"/>
        </w:numPr>
        <w:autoSpaceDE w:val="0"/>
        <w:autoSpaceDN w:val="0"/>
        <w:adjustRightInd w:val="0"/>
        <w:spacing w:after="0"/>
        <w:ind w:left="357" w:hanging="357"/>
        <w:rPr>
          <w:rFonts w:cs="Arial"/>
        </w:rPr>
      </w:pPr>
      <w:r w:rsidRPr="00F73D62">
        <w:rPr>
          <w:rFonts w:cs="Arial"/>
        </w:rPr>
        <w:t>Ustawa z dnia 7 września 1991 r. o systemie oświaty;</w:t>
      </w:r>
    </w:p>
    <w:p w14:paraId="0E0D7C9C"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Ustawa z dnia 12 maja 2022 r. o zmianie ustawy – Prawo oświatowe, ustawy o systemie oświaty oraz niektórych innych ustaw;</w:t>
      </w:r>
    </w:p>
    <w:p w14:paraId="36722BD6"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Ustawa z dnia 26 stycznia 1982 r. – Karta Nauczyciela;</w:t>
      </w:r>
    </w:p>
    <w:p w14:paraId="55088F4D" w14:textId="2DAC2299" w:rsidR="00F73D62" w:rsidRDefault="00F73D62" w:rsidP="00F73D62">
      <w:pPr>
        <w:numPr>
          <w:ilvl w:val="0"/>
          <w:numId w:val="44"/>
        </w:numPr>
        <w:autoSpaceDE w:val="0"/>
        <w:autoSpaceDN w:val="0"/>
        <w:adjustRightInd w:val="0"/>
        <w:spacing w:after="0"/>
        <w:ind w:left="357" w:hanging="357"/>
        <w:rPr>
          <w:rFonts w:cs="Arial"/>
        </w:rPr>
      </w:pPr>
      <w:r w:rsidRPr="00F73D62">
        <w:rPr>
          <w:rFonts w:cs="Arial"/>
        </w:rPr>
        <w:t>Ustawa z dnia 28 listopada 2003 r. o świadczeniach rodzinnych;</w:t>
      </w:r>
    </w:p>
    <w:p w14:paraId="3FB8229F" w14:textId="7A929516" w:rsidR="00F73D62" w:rsidRPr="00F73D62" w:rsidRDefault="00F73D62" w:rsidP="00F73D62">
      <w:pPr>
        <w:pStyle w:val="TreNum-K"/>
        <w:numPr>
          <w:ilvl w:val="0"/>
          <w:numId w:val="44"/>
        </w:numPr>
        <w:ind w:left="357" w:hanging="357"/>
        <w:jc w:val="left"/>
        <w:rPr>
          <w:bCs/>
        </w:rPr>
      </w:pPr>
      <w:r w:rsidRPr="005400E1">
        <w:rPr>
          <w:bCs/>
        </w:rPr>
        <w:t>Ustawa z dnia 24 kwietnia 2003 r. o działalności pożytku publicznego i o wolontariacie;</w:t>
      </w:r>
    </w:p>
    <w:p w14:paraId="446E5FA7"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Rozporządzenie Ministra Edukacji Narodowej z dnia 24 lipca 2015 r. w sprawie warunków organizowania kształcenia, wychowania i opieki dla dzieci i młodzieży niepełnosprawnych, niedostosowanych społecznie i zagrożonych niedostosowaniem społecznym;</w:t>
      </w:r>
    </w:p>
    <w:p w14:paraId="59586BF9"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lastRenderedPageBreak/>
        <w:t>Rozporządzenie Ministra Edukacji Narodowej z dnia 9 sierpnia 2017 r. w sprawie warunków organizowania kształcenia, wychowania i opieki dla dzieci i młodzieży niepełnosprawnych, niedostosowanych społecznie i zagrożonych niedostosowaniem społecznym;</w:t>
      </w:r>
    </w:p>
    <w:p w14:paraId="30331549" w14:textId="5D684015" w:rsidR="00F73D62" w:rsidRPr="00F73D62" w:rsidRDefault="00F73D62" w:rsidP="00F73D62">
      <w:pPr>
        <w:pStyle w:val="Akapitzlist"/>
        <w:numPr>
          <w:ilvl w:val="0"/>
          <w:numId w:val="44"/>
        </w:numPr>
        <w:autoSpaceDE w:val="0"/>
        <w:autoSpaceDN w:val="0"/>
        <w:adjustRightInd w:val="0"/>
        <w:spacing w:after="0"/>
        <w:ind w:left="357" w:hanging="357"/>
        <w:rPr>
          <w:rFonts w:cs="Arial"/>
        </w:rPr>
      </w:pPr>
      <w:r w:rsidRPr="00F73D62">
        <w:rPr>
          <w:rFonts w:cs="Arial"/>
        </w:rPr>
        <w:t>Rozporządzenie Ministra Edukacji Narodowej z dnia 23 kwietnia 2013 r. w sprawie warunków i sposobu organizowania zajęć rewalidacyjno-wychowawczych dla dzieci i młodzieży z upośledzeniem umysłowym w stopniu głębokim;</w:t>
      </w:r>
    </w:p>
    <w:p w14:paraId="32C46597"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Rozporządzenie Ministra Edukacji Narodowej z dnia 9 sierpnia 2017 r. w sprawie zasad organizacji i udzielania pomocy psychologiczno-pedagogicznej w publicznych przedszkolach, szkołach i placówkach;</w:t>
      </w:r>
    </w:p>
    <w:p w14:paraId="337A240E"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Rozporządzenie Ministra Edukacji Narodowej z dnia 25 sierpnia 2017 r. w sprawie nadzoru pedagogicznego;</w:t>
      </w:r>
    </w:p>
    <w:p w14:paraId="6FC5EA86" w14:textId="77777777"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Rozporządzenie Ministra Nauki i Szkolnictwa Wyższego z dnia 25 lipca 2019 r. w sprawie standardu kształcenia przygotowującego do wykonywania zawodu nauczyciela;</w:t>
      </w:r>
    </w:p>
    <w:p w14:paraId="54F2CFF0" w14:textId="16C4843A" w:rsidR="00F73D62" w:rsidRPr="00F73D62" w:rsidRDefault="00F73D62" w:rsidP="00F73D62">
      <w:pPr>
        <w:numPr>
          <w:ilvl w:val="0"/>
          <w:numId w:val="44"/>
        </w:numPr>
        <w:autoSpaceDE w:val="0"/>
        <w:autoSpaceDN w:val="0"/>
        <w:adjustRightInd w:val="0"/>
        <w:spacing w:after="0"/>
        <w:ind w:left="357" w:hanging="357"/>
        <w:rPr>
          <w:rFonts w:cs="Arial"/>
        </w:rPr>
      </w:pPr>
      <w:r w:rsidRPr="00F73D62">
        <w:rPr>
          <w:rFonts w:cs="Arial"/>
        </w:rPr>
        <w:t>Zintegrowana Strategia Umiejętności 2030.</w:t>
      </w:r>
    </w:p>
    <w:p w14:paraId="2C0A7A10" w14:textId="77777777" w:rsidR="00D6679F" w:rsidRPr="00D6679F" w:rsidRDefault="00D6679F" w:rsidP="00E33E29">
      <w:pPr>
        <w:pStyle w:val="Podrozdzia-K"/>
        <w:spacing w:line="480" w:lineRule="auto"/>
        <w:ind w:left="340"/>
        <w:jc w:val="left"/>
      </w:pPr>
      <w:bookmarkStart w:id="10" w:name="_Toc137810479"/>
      <w:r w:rsidRPr="00D6679F">
        <w:t>Cel i przedmiot naboru</w:t>
      </w:r>
      <w:bookmarkEnd w:id="10"/>
    </w:p>
    <w:p w14:paraId="28F9873D" w14:textId="77777777" w:rsidR="00D6679F" w:rsidRPr="00E47AF1" w:rsidRDefault="00017D36" w:rsidP="001C3CAC">
      <w:pPr>
        <w:pStyle w:val="TreNum-K"/>
        <w:numPr>
          <w:ilvl w:val="0"/>
          <w:numId w:val="33"/>
        </w:numPr>
        <w:jc w:val="left"/>
        <w:rPr>
          <w:bCs/>
        </w:rPr>
      </w:pPr>
      <w:r w:rsidRPr="00017D36">
        <w:t>Celem naboru jest wybór do dofinansowania projektu strategicznego</w:t>
      </w:r>
      <w:r>
        <w:t xml:space="preserve"> </w:t>
      </w:r>
      <w:r w:rsidRPr="00017D36">
        <w:t>„POTRAFIĘ-DECYDUJĘ-DZIAŁAM program wspierania aktywności i inicjatyw młodzieży w w</w:t>
      </w:r>
      <w:r w:rsidR="000E13D1">
        <w:t>ojewództwie warmińsko-mazurskim</w:t>
      </w:r>
      <w:r w:rsidRPr="00017D36">
        <w:t>”</w:t>
      </w:r>
      <w:r>
        <w:t xml:space="preserve">, </w:t>
      </w:r>
      <w:r w:rsidR="00E47AF1">
        <w:t xml:space="preserve">spełniającego określone w zał. nr 1 do Regulaminu kryteria, </w:t>
      </w:r>
      <w:r>
        <w:t xml:space="preserve">który </w:t>
      </w:r>
      <w:r w:rsidR="00D6679F" w:rsidRPr="00017D36">
        <w:t xml:space="preserve">został </w:t>
      </w:r>
      <w:r w:rsidR="00E47AF1">
        <w:t>wskazany</w:t>
      </w:r>
      <w:r w:rsidR="00D6679F" w:rsidRPr="00017D36">
        <w:t xml:space="preserve"> w </w:t>
      </w:r>
      <w:r w:rsidR="0013799C" w:rsidRPr="00017D36">
        <w:t xml:space="preserve">Wykazie </w:t>
      </w:r>
      <w:r w:rsidR="00E47AF1" w:rsidRPr="00E47AF1">
        <w:t>zidentyfikowanych projektów wybieranych w sposób niekonkurencyjny w ramach programu regionalnego na lata 2021-2027</w:t>
      </w:r>
      <w:r w:rsidR="00E47AF1" w:rsidRPr="00C71F32">
        <w:rPr>
          <w:rFonts w:ascii="Calibri" w:hAnsi="Calibri" w:cs="Calibri"/>
          <w:iCs/>
        </w:rPr>
        <w:t xml:space="preserve"> </w:t>
      </w:r>
      <w:r w:rsidR="00E47AF1" w:rsidRPr="00E47AF1">
        <w:t>Fundusze Europejskie dla Warmii i Mazur</w:t>
      </w:r>
      <w:bookmarkStart w:id="11" w:name="_Hlk135209078"/>
      <w:r w:rsidR="00E47AF1">
        <w:t>.</w:t>
      </w:r>
    </w:p>
    <w:bookmarkEnd w:id="11"/>
    <w:p w14:paraId="07C5F752" w14:textId="77777777" w:rsidR="00E91CFD" w:rsidRPr="00180770" w:rsidRDefault="00E91CFD" w:rsidP="001C3CAC">
      <w:pPr>
        <w:pStyle w:val="TreNum-K"/>
        <w:numPr>
          <w:ilvl w:val="0"/>
          <w:numId w:val="23"/>
        </w:numPr>
        <w:jc w:val="left"/>
      </w:pPr>
      <w:r w:rsidRPr="00E91CFD">
        <w:t>W ramach naboru wybrany do dofinansowania</w:t>
      </w:r>
      <w:r w:rsidR="00180770">
        <w:t xml:space="preserve"> zostanie</w:t>
      </w:r>
      <w:r w:rsidRPr="00E91CFD">
        <w:t xml:space="preserve"> projekt, </w:t>
      </w:r>
      <w:r w:rsidR="00180770">
        <w:t>którego celem głównym</w:t>
      </w:r>
      <w:r w:rsidR="00180770" w:rsidRPr="00180770">
        <w:t xml:space="preserve"> jest wsparcie młodzieży uczącej się w szkołach i placówkach systemu oświaty na terenie województwa warmińsko-mazurskiego w rozwijaniu kompetencji kluczowych, głównie społecznych i obywatelskich poprzez stworzenie warunków do aktywnego, twórczego i partnerskiego udziału w życiu lokalnym, umacniającego ich więzi z miejscem zamieszkania lub nauki, w tym poprzez realizację inicjatyw młodzieży</w:t>
      </w:r>
      <w:r w:rsidR="00180770">
        <w:t>, zgodny z:</w:t>
      </w:r>
    </w:p>
    <w:p w14:paraId="50ADB531" w14:textId="77777777" w:rsidR="00E91CFD" w:rsidRPr="00E91CFD" w:rsidRDefault="00E91CFD" w:rsidP="001C3CAC">
      <w:pPr>
        <w:numPr>
          <w:ilvl w:val="1"/>
          <w:numId w:val="8"/>
        </w:numPr>
        <w:tabs>
          <w:tab w:val="center" w:pos="4536"/>
          <w:tab w:val="right" w:pos="9072"/>
        </w:tabs>
        <w:spacing w:before="40" w:after="40"/>
        <w:rPr>
          <w:rFonts w:eastAsia="Calibri" w:cs="Arial"/>
        </w:rPr>
      </w:pPr>
      <w:r w:rsidRPr="00E91CFD">
        <w:rPr>
          <w:rFonts w:eastAsia="Calibri" w:cs="Arial"/>
        </w:rPr>
        <w:t>Celem Polityki 4: Europa o silniejszym wymiarze społecznym, bardziej</w:t>
      </w:r>
      <w:r w:rsidRPr="00E91CFD">
        <w:rPr>
          <w:rFonts w:ascii="Calibri" w:eastAsia="Calibri" w:hAnsi="Calibri" w:cs="Times New Roman"/>
        </w:rPr>
        <w:t xml:space="preserve"> </w:t>
      </w:r>
      <w:r w:rsidRPr="00E91CFD">
        <w:rPr>
          <w:rFonts w:eastAsia="Calibri" w:cs="Arial"/>
        </w:rPr>
        <w:t>sprzyjająca włączeniu społecznemu i wdrażająca Europejski filar praw</w:t>
      </w:r>
      <w:r w:rsidRPr="00E91CFD">
        <w:rPr>
          <w:rFonts w:ascii="Calibri" w:eastAsia="Calibri" w:hAnsi="Calibri" w:cs="Times New Roman"/>
        </w:rPr>
        <w:t xml:space="preserve"> </w:t>
      </w:r>
      <w:r w:rsidRPr="00E91CFD">
        <w:rPr>
          <w:rFonts w:eastAsia="Calibri" w:cs="Arial"/>
        </w:rPr>
        <w:t>socjalnych;</w:t>
      </w:r>
    </w:p>
    <w:p w14:paraId="330CFFAE" w14:textId="77777777" w:rsidR="001C3CAC" w:rsidRPr="00940EA3" w:rsidRDefault="00E91CFD" w:rsidP="00940EA3">
      <w:pPr>
        <w:numPr>
          <w:ilvl w:val="1"/>
          <w:numId w:val="8"/>
        </w:numPr>
        <w:tabs>
          <w:tab w:val="center" w:pos="4536"/>
          <w:tab w:val="right" w:pos="9072"/>
        </w:tabs>
        <w:spacing w:before="40" w:after="40"/>
        <w:rPr>
          <w:rFonts w:ascii="Calibri" w:eastAsia="Calibri" w:hAnsi="Calibri" w:cs="Times New Roman"/>
        </w:rPr>
      </w:pPr>
      <w:r w:rsidRPr="00E91CFD">
        <w:rPr>
          <w:rFonts w:eastAsia="Calibri" w:cs="Times New Roman"/>
        </w:rPr>
        <w:t xml:space="preserve">Celem szczegółowym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w:t>
      </w:r>
      <w:r w:rsidRPr="00E91CFD">
        <w:rPr>
          <w:rFonts w:eastAsia="Calibri" w:cs="Times New Roman"/>
        </w:rPr>
        <w:lastRenderedPageBreak/>
        <w:t>i uczenie się dorosłych, w tym ułatwianie mobilności edukacyjnej dla wszystkich i dostępności dla osób z niepełnosprawnościami.</w:t>
      </w:r>
    </w:p>
    <w:p w14:paraId="14B978C0" w14:textId="77777777" w:rsidR="00D6679F" w:rsidRDefault="00D6679F" w:rsidP="00E33E29">
      <w:pPr>
        <w:pStyle w:val="Podrozdzia-K"/>
        <w:spacing w:line="480" w:lineRule="auto"/>
        <w:ind w:left="340"/>
        <w:jc w:val="left"/>
      </w:pPr>
      <w:bookmarkStart w:id="12" w:name="_Toc137810480"/>
      <w:r w:rsidRPr="00940EA3">
        <w:t>Kwota</w:t>
      </w:r>
      <w:r w:rsidRPr="00D6679F">
        <w:t xml:space="preserve"> </w:t>
      </w:r>
      <w:r w:rsidRPr="00940EA3">
        <w:t>przeznaczona</w:t>
      </w:r>
      <w:r w:rsidRPr="00D6679F">
        <w:t xml:space="preserve"> na nabór i podstawowe zasady udzielania</w:t>
      </w:r>
      <w:r w:rsidR="00E91CFD">
        <w:t xml:space="preserve"> </w:t>
      </w:r>
      <w:r w:rsidRPr="00D6679F">
        <w:t>dofinansowania</w:t>
      </w:r>
      <w:bookmarkEnd w:id="12"/>
      <w:r w:rsidR="00E33E29">
        <w:t xml:space="preserve"> </w:t>
      </w:r>
    </w:p>
    <w:p w14:paraId="2A5A1C9E" w14:textId="77777777" w:rsidR="006F2086" w:rsidRDefault="00E91CFD" w:rsidP="001C3CAC">
      <w:pPr>
        <w:pStyle w:val="TreNum-K"/>
        <w:numPr>
          <w:ilvl w:val="0"/>
          <w:numId w:val="24"/>
        </w:numPr>
        <w:ind w:left="0" w:firstLine="0"/>
        <w:jc w:val="left"/>
      </w:pPr>
      <w:r w:rsidRPr="00243057">
        <w:t>Środki</w:t>
      </w:r>
      <w:r w:rsidRPr="00670252">
        <w:t xml:space="preserve"> na finansowanie projektów pochodzą z budżetu śr</w:t>
      </w:r>
      <w:r w:rsidR="00243057">
        <w:t xml:space="preserve">odków europejskich oraz budżetu </w:t>
      </w:r>
      <w:r w:rsidRPr="00670252">
        <w:t>państwa.</w:t>
      </w:r>
    </w:p>
    <w:p w14:paraId="5E089C15" w14:textId="77777777" w:rsidR="001C3CAC" w:rsidRPr="006F2086" w:rsidRDefault="001C3CAC" w:rsidP="001C3CAC">
      <w:pPr>
        <w:pStyle w:val="TreNum-K"/>
        <w:numPr>
          <w:ilvl w:val="0"/>
          <w:numId w:val="0"/>
        </w:numPr>
        <w:jc w:val="left"/>
      </w:pPr>
    </w:p>
    <w:tbl>
      <w:tblPr>
        <w:tblW w:w="0" w:type="auto"/>
        <w:tblBorders>
          <w:top w:val="single" w:sz="12" w:space="0" w:color="0066CC"/>
          <w:left w:val="single" w:sz="12" w:space="0" w:color="0066CC"/>
          <w:bottom w:val="single" w:sz="12" w:space="0" w:color="0066CC"/>
          <w:right w:val="single" w:sz="12" w:space="0" w:color="0066CC"/>
          <w:insideH w:val="single" w:sz="12" w:space="0" w:color="0066CC"/>
          <w:insideV w:val="single" w:sz="12" w:space="0" w:color="0066CC"/>
        </w:tblBorders>
        <w:tblLook w:val="00A0" w:firstRow="1" w:lastRow="0" w:firstColumn="1" w:lastColumn="0" w:noHBand="0" w:noVBand="0"/>
      </w:tblPr>
      <w:tblGrid>
        <w:gridCol w:w="4965"/>
        <w:gridCol w:w="4077"/>
      </w:tblGrid>
      <w:tr w:rsidR="00C640C0" w:rsidRPr="00737D1D" w14:paraId="6782808D" w14:textId="77777777" w:rsidTr="00F4235C">
        <w:tc>
          <w:tcPr>
            <w:tcW w:w="9042" w:type="dxa"/>
            <w:gridSpan w:val="2"/>
          </w:tcPr>
          <w:p w14:paraId="0B58C4CC" w14:textId="77777777" w:rsidR="00C640C0" w:rsidRPr="00737D1D" w:rsidRDefault="00C640C0" w:rsidP="001C3CAC">
            <w:pPr>
              <w:spacing w:before="120" w:after="120" w:line="240" w:lineRule="auto"/>
              <w:rPr>
                <w:rFonts w:eastAsia="Calibri" w:cs="Arial"/>
              </w:rPr>
            </w:pPr>
            <w:r w:rsidRPr="00737D1D">
              <w:rPr>
                <w:rFonts w:eastAsia="Calibri" w:cs="Arial"/>
                <w:b/>
              </w:rPr>
              <w:t>Kwota przeznaczona na dofinansowanie projektów w naborze</w:t>
            </w:r>
            <w:r>
              <w:rPr>
                <w:rStyle w:val="Odwoanieprzypisudolnego"/>
                <w:rFonts w:eastAsia="Calibri"/>
                <w:b/>
              </w:rPr>
              <w:footnoteReference w:id="2"/>
            </w:r>
            <w:r w:rsidRPr="00737D1D">
              <w:rPr>
                <w:rFonts w:eastAsia="Calibri" w:cs="Arial"/>
                <w:b/>
              </w:rPr>
              <w:t>:</w:t>
            </w:r>
          </w:p>
        </w:tc>
      </w:tr>
      <w:tr w:rsidR="00C640C0" w:rsidRPr="00737D1D" w14:paraId="3C11EE63" w14:textId="77777777" w:rsidTr="00F4235C">
        <w:tc>
          <w:tcPr>
            <w:tcW w:w="4965" w:type="dxa"/>
            <w:tcBorders>
              <w:top w:val="single" w:sz="12" w:space="0" w:color="0066CC"/>
              <w:bottom w:val="single" w:sz="12" w:space="0" w:color="0066CC"/>
            </w:tcBorders>
            <w:vAlign w:val="center"/>
          </w:tcPr>
          <w:p w14:paraId="148A9524" w14:textId="77777777" w:rsidR="00C640C0" w:rsidRPr="00F6333E" w:rsidRDefault="008A6F41" w:rsidP="001C3CAC">
            <w:pPr>
              <w:spacing w:before="120" w:after="120" w:line="240" w:lineRule="auto"/>
              <w:rPr>
                <w:rFonts w:eastAsia="Calibri" w:cs="Arial"/>
                <w:b/>
              </w:rPr>
            </w:pPr>
            <w:r>
              <w:rPr>
                <w:rFonts w:eastAsia="Calibri" w:cs="Arial"/>
                <w:b/>
              </w:rPr>
              <w:t>Wartość dofinansowania (90</w:t>
            </w:r>
            <w:r w:rsidR="00C640C0" w:rsidRPr="00F6333E">
              <w:rPr>
                <w:rFonts w:eastAsia="Calibri" w:cs="Arial"/>
                <w:b/>
              </w:rPr>
              <w:t>%):</w:t>
            </w:r>
          </w:p>
        </w:tc>
        <w:tc>
          <w:tcPr>
            <w:tcW w:w="4077" w:type="dxa"/>
            <w:tcBorders>
              <w:top w:val="single" w:sz="12" w:space="0" w:color="0066CC"/>
              <w:left w:val="nil"/>
              <w:bottom w:val="single" w:sz="12" w:space="0" w:color="0066CC"/>
              <w:right w:val="single" w:sz="12" w:space="0" w:color="0066CC"/>
            </w:tcBorders>
          </w:tcPr>
          <w:p w14:paraId="2388397B" w14:textId="77777777" w:rsidR="00C640C0" w:rsidRPr="008A6F41" w:rsidRDefault="008A6F41" w:rsidP="001C3CAC">
            <w:pPr>
              <w:spacing w:before="120" w:after="120" w:line="240" w:lineRule="auto"/>
              <w:rPr>
                <w:b/>
                <w:bCs/>
              </w:rPr>
            </w:pPr>
            <w:r>
              <w:rPr>
                <w:b/>
                <w:bCs/>
              </w:rPr>
              <w:t>5 610 007,46 PL</w:t>
            </w:r>
            <w:r>
              <w:rPr>
                <w:bCs/>
              </w:rPr>
              <w:t>N</w:t>
            </w:r>
          </w:p>
        </w:tc>
      </w:tr>
      <w:tr w:rsidR="00C640C0" w:rsidRPr="00737D1D" w14:paraId="30DB428F" w14:textId="77777777" w:rsidTr="00C552D0">
        <w:trPr>
          <w:trHeight w:val="248"/>
        </w:trPr>
        <w:tc>
          <w:tcPr>
            <w:tcW w:w="4965" w:type="dxa"/>
            <w:tcBorders>
              <w:top w:val="single" w:sz="12" w:space="0" w:color="0066CC"/>
              <w:bottom w:val="single" w:sz="12" w:space="0" w:color="0066CC"/>
              <w:right w:val="single" w:sz="4" w:space="0" w:color="auto"/>
            </w:tcBorders>
            <w:vAlign w:val="center"/>
          </w:tcPr>
          <w:p w14:paraId="16F3297A" w14:textId="77777777" w:rsidR="00C640C0" w:rsidRPr="00F6333E" w:rsidRDefault="00C640C0" w:rsidP="001C3CAC">
            <w:pPr>
              <w:spacing w:before="120" w:after="120" w:line="240" w:lineRule="auto"/>
              <w:rPr>
                <w:rFonts w:eastAsia="Calibri" w:cs="Arial"/>
                <w:b/>
              </w:rPr>
            </w:pPr>
            <w:r w:rsidRPr="00F6333E">
              <w:rPr>
                <w:rFonts w:eastAsia="Calibri" w:cs="Arial"/>
                <w:b/>
              </w:rPr>
              <w:t>w tym wsparcie finansowe EFS (85%):</w:t>
            </w:r>
          </w:p>
        </w:tc>
        <w:tc>
          <w:tcPr>
            <w:tcW w:w="4077" w:type="dxa"/>
            <w:tcBorders>
              <w:top w:val="single" w:sz="12" w:space="0" w:color="0066CC"/>
              <w:left w:val="single" w:sz="4" w:space="0" w:color="auto"/>
              <w:bottom w:val="single" w:sz="12" w:space="0" w:color="0066CC"/>
              <w:right w:val="single" w:sz="12" w:space="0" w:color="0066CC"/>
            </w:tcBorders>
            <w:vAlign w:val="bottom"/>
          </w:tcPr>
          <w:p w14:paraId="098AFB2D" w14:textId="77777777" w:rsidR="00C640C0" w:rsidRPr="009C38CE" w:rsidRDefault="008B5F47" w:rsidP="001C3CAC">
            <w:pPr>
              <w:spacing w:before="120" w:after="120" w:line="240" w:lineRule="auto"/>
              <w:rPr>
                <w:b/>
                <w:bCs/>
              </w:rPr>
            </w:pPr>
            <w:r>
              <w:rPr>
                <w:b/>
                <w:bCs/>
              </w:rPr>
              <w:t>5 298 340,38</w:t>
            </w:r>
            <w:r w:rsidRPr="009C38CE">
              <w:rPr>
                <w:b/>
                <w:bCs/>
              </w:rPr>
              <w:t xml:space="preserve"> </w:t>
            </w:r>
            <w:r w:rsidR="00C640C0" w:rsidRPr="009C38CE">
              <w:rPr>
                <w:b/>
                <w:bCs/>
              </w:rPr>
              <w:t>PLN</w:t>
            </w:r>
          </w:p>
          <w:p w14:paraId="33D29642" w14:textId="77777777" w:rsidR="00C640C0" w:rsidRPr="009C38CE" w:rsidRDefault="00C640C0" w:rsidP="001C3CAC">
            <w:pPr>
              <w:spacing w:before="120" w:after="120" w:line="240" w:lineRule="auto"/>
              <w:rPr>
                <w:rFonts w:eastAsia="Calibri" w:cs="Arial"/>
                <w:highlight w:val="yellow"/>
              </w:rPr>
            </w:pPr>
          </w:p>
        </w:tc>
      </w:tr>
      <w:tr w:rsidR="00C640C0" w:rsidRPr="00737D1D" w14:paraId="078CF28A" w14:textId="77777777" w:rsidTr="00262EFC">
        <w:trPr>
          <w:trHeight w:val="673"/>
        </w:trPr>
        <w:tc>
          <w:tcPr>
            <w:tcW w:w="4965" w:type="dxa"/>
            <w:tcBorders>
              <w:top w:val="single" w:sz="12" w:space="0" w:color="0066CC"/>
              <w:bottom w:val="single" w:sz="12" w:space="0" w:color="0066CC"/>
              <w:right w:val="single" w:sz="4" w:space="0" w:color="auto"/>
            </w:tcBorders>
            <w:vAlign w:val="center"/>
          </w:tcPr>
          <w:p w14:paraId="669546F5" w14:textId="77777777" w:rsidR="00C640C0" w:rsidRPr="00F6333E" w:rsidRDefault="00C640C0" w:rsidP="001C3CAC">
            <w:pPr>
              <w:spacing w:before="120" w:after="120" w:line="240" w:lineRule="auto"/>
              <w:rPr>
                <w:rFonts w:eastAsia="Calibri" w:cs="Arial"/>
                <w:b/>
              </w:rPr>
            </w:pPr>
            <w:r>
              <w:rPr>
                <w:rFonts w:eastAsia="Calibri" w:cs="Arial"/>
                <w:b/>
              </w:rPr>
              <w:t>w tym budżet państwa (5%)</w:t>
            </w:r>
          </w:p>
        </w:tc>
        <w:tc>
          <w:tcPr>
            <w:tcW w:w="4077" w:type="dxa"/>
            <w:tcBorders>
              <w:top w:val="single" w:sz="12" w:space="0" w:color="0066CC"/>
              <w:left w:val="single" w:sz="4" w:space="0" w:color="auto"/>
              <w:bottom w:val="single" w:sz="12" w:space="0" w:color="0066CC"/>
              <w:right w:val="single" w:sz="12" w:space="0" w:color="0066CC"/>
            </w:tcBorders>
          </w:tcPr>
          <w:p w14:paraId="07D00B23" w14:textId="77777777" w:rsidR="00C640C0" w:rsidRPr="009C38CE" w:rsidRDefault="008B5F47" w:rsidP="001C3CAC">
            <w:pPr>
              <w:spacing w:before="120" w:after="120" w:line="240" w:lineRule="auto"/>
              <w:rPr>
                <w:b/>
                <w:bCs/>
              </w:rPr>
            </w:pPr>
            <w:r>
              <w:rPr>
                <w:b/>
                <w:bCs/>
              </w:rPr>
              <w:t>311 667,08</w:t>
            </w:r>
            <w:r w:rsidR="00C640C0" w:rsidRPr="009C38CE">
              <w:rPr>
                <w:b/>
                <w:bCs/>
              </w:rPr>
              <w:t xml:space="preserve"> PLN</w:t>
            </w:r>
          </w:p>
          <w:p w14:paraId="5347E0EE" w14:textId="77777777" w:rsidR="00C640C0" w:rsidRPr="009C38CE" w:rsidRDefault="00C640C0" w:rsidP="001C3CAC">
            <w:pPr>
              <w:spacing w:before="120" w:after="120" w:line="240" w:lineRule="auto"/>
              <w:rPr>
                <w:bCs/>
              </w:rPr>
            </w:pPr>
          </w:p>
        </w:tc>
      </w:tr>
    </w:tbl>
    <w:p w14:paraId="45415713" w14:textId="77777777" w:rsidR="00C640C0" w:rsidRDefault="00C640C0" w:rsidP="001C3CAC">
      <w:pPr>
        <w:pStyle w:val="TreNum-K"/>
        <w:numPr>
          <w:ilvl w:val="0"/>
          <w:numId w:val="0"/>
        </w:numPr>
        <w:jc w:val="left"/>
        <w:rPr>
          <w:bCs/>
        </w:rPr>
      </w:pPr>
    </w:p>
    <w:p w14:paraId="76B63D8E" w14:textId="77777777" w:rsidR="00180770" w:rsidRDefault="00180770" w:rsidP="001C3CAC">
      <w:pPr>
        <w:pStyle w:val="TreNum-K"/>
        <w:numPr>
          <w:ilvl w:val="0"/>
          <w:numId w:val="8"/>
        </w:numPr>
        <w:jc w:val="left"/>
        <w:rPr>
          <w:bCs/>
        </w:rPr>
      </w:pPr>
      <w:r w:rsidRPr="00180770">
        <w:rPr>
          <w:bCs/>
        </w:rPr>
        <w:t>Do realizacji projektu jest wymagane wniesienie wkładu własnego Wnioskodawcy stanowiącego minimum 10% wydatków kwalifikowalnych. W związku z tym maksymalny poziom dofinansowania projektu to 90% wydatków kwalifikowalnych.</w:t>
      </w:r>
    </w:p>
    <w:p w14:paraId="48645FA1" w14:textId="71988E12" w:rsidR="00180770" w:rsidRPr="00180770" w:rsidRDefault="00180770" w:rsidP="001C3CAC">
      <w:pPr>
        <w:pStyle w:val="TreNum-K"/>
        <w:numPr>
          <w:ilvl w:val="0"/>
          <w:numId w:val="8"/>
        </w:numPr>
        <w:jc w:val="left"/>
        <w:rPr>
          <w:bCs/>
        </w:rPr>
      </w:pPr>
      <w:r w:rsidRPr="00180770">
        <w:rPr>
          <w:bCs/>
        </w:rPr>
        <w:t>Zasady finansowe uregulowane zostały w Rozdz</w:t>
      </w:r>
      <w:r>
        <w:rPr>
          <w:bCs/>
        </w:rPr>
        <w:t xml:space="preserve">iale 4 Zasad finansowania oraz </w:t>
      </w:r>
      <w:r w:rsidRPr="00180770">
        <w:rPr>
          <w:bCs/>
        </w:rPr>
        <w:t>w</w:t>
      </w:r>
      <w:r>
        <w:rPr>
          <w:bCs/>
        </w:rPr>
        <w:t xml:space="preserve"> Wytycznych kwalifikowalności. </w:t>
      </w:r>
    </w:p>
    <w:p w14:paraId="4DB584D2" w14:textId="77777777" w:rsidR="00D6679F" w:rsidRPr="00D6679F" w:rsidRDefault="00D6679F" w:rsidP="00E33E29">
      <w:pPr>
        <w:pStyle w:val="Podrozdzia-K"/>
        <w:spacing w:line="480" w:lineRule="auto"/>
        <w:ind w:left="340"/>
        <w:jc w:val="left"/>
      </w:pPr>
      <w:bookmarkStart w:id="13" w:name="_Toc137810481"/>
      <w:r w:rsidRPr="00940EA3">
        <w:t>Udzielanie</w:t>
      </w:r>
      <w:r w:rsidRPr="00D6679F">
        <w:t xml:space="preserve"> informacji i sposób komunikacji między </w:t>
      </w:r>
      <w:r w:rsidR="00E33E29">
        <w:t>W</w:t>
      </w:r>
      <w:r w:rsidRPr="00D6679F">
        <w:t xml:space="preserve">nioskodawcą </w:t>
      </w:r>
      <w:r w:rsidR="00E33E29">
        <w:br/>
      </w:r>
      <w:r w:rsidRPr="00D6679F">
        <w:t>a ION</w:t>
      </w:r>
      <w:bookmarkEnd w:id="13"/>
    </w:p>
    <w:p w14:paraId="47B54441" w14:textId="77777777" w:rsidR="00D6679F" w:rsidRPr="0069301C" w:rsidRDefault="00D6679F" w:rsidP="001C3CAC">
      <w:pPr>
        <w:pStyle w:val="TreNum-K"/>
        <w:numPr>
          <w:ilvl w:val="0"/>
          <w:numId w:val="25"/>
        </w:numPr>
        <w:jc w:val="left"/>
      </w:pPr>
      <w:r w:rsidRPr="00670252">
        <w:t>Wyjaśnień w kwestiach dotyczących naboru udziela ION w odpowiedzi na zapytania kierowane na adres poczty elektronicznej:</w:t>
      </w:r>
      <w:r w:rsidR="0069301C" w:rsidRPr="0069301C">
        <w:rPr>
          <w:rFonts w:cstheme="minorBidi"/>
        </w:rPr>
        <w:t xml:space="preserve"> </w:t>
      </w:r>
      <w:r w:rsidR="007E10B9">
        <w:t xml:space="preserve">edukacjarpo@warmia.mazury.pl </w:t>
      </w:r>
      <w:r w:rsidRPr="00670252">
        <w:t>lub telefonicznie pod nr</w:t>
      </w:r>
      <w:r w:rsidR="008A2A28">
        <w:t xml:space="preserve"> telefonu</w:t>
      </w:r>
      <w:r w:rsidRPr="007E10B9">
        <w:t>:</w:t>
      </w:r>
      <w:r w:rsidR="007E10B9" w:rsidRPr="007E10B9">
        <w:t xml:space="preserve"> </w:t>
      </w:r>
      <w:r w:rsidR="007E10B9" w:rsidRPr="0069301C">
        <w:rPr>
          <w:b/>
        </w:rPr>
        <w:t>89 52 19 721</w:t>
      </w:r>
      <w:r w:rsidR="007E10B9" w:rsidRPr="0069301C">
        <w:t xml:space="preserve">. </w:t>
      </w:r>
    </w:p>
    <w:p w14:paraId="100854E6" w14:textId="77777777" w:rsidR="00017D36" w:rsidRPr="00737D1D" w:rsidRDefault="00017D36" w:rsidP="001C3CAC">
      <w:pPr>
        <w:pStyle w:val="TreNum-K"/>
        <w:numPr>
          <w:ilvl w:val="0"/>
          <w:numId w:val="23"/>
        </w:numPr>
        <w:jc w:val="left"/>
      </w:pPr>
      <w:r w:rsidRPr="00737D1D">
        <w:t xml:space="preserve">W przypadku </w:t>
      </w:r>
      <w:r w:rsidRPr="00F54FBA">
        <w:t>pytań technicznych</w:t>
      </w:r>
      <w:r w:rsidRPr="00737D1D">
        <w:t xml:space="preserve"> związanych ze sposobem wypełnienia </w:t>
      </w:r>
      <w:r w:rsidR="00243057">
        <w:t xml:space="preserve">wniosku </w:t>
      </w:r>
      <w:r w:rsidRPr="00737D1D">
        <w:t>o dofinansowanie w generatorze wniosków aplikacyj</w:t>
      </w:r>
      <w:r w:rsidR="00243057">
        <w:t xml:space="preserve">nych SOWA EFS prosimy o kontakt </w:t>
      </w:r>
      <w:r w:rsidRPr="00737D1D">
        <w:t>pod</w:t>
      </w:r>
      <w:r>
        <w:t> </w:t>
      </w:r>
      <w:r w:rsidRPr="00737D1D">
        <w:t>nr tel</w:t>
      </w:r>
      <w:r>
        <w:t>efonu:</w:t>
      </w:r>
      <w:r w:rsidRPr="00737D1D">
        <w:t xml:space="preserve"> </w:t>
      </w:r>
      <w:r w:rsidRPr="008A2A28">
        <w:rPr>
          <w:b/>
        </w:rPr>
        <w:t>89 521 97 46</w:t>
      </w:r>
      <w:r>
        <w:t xml:space="preserve"> </w:t>
      </w:r>
      <w:r w:rsidRPr="00737D1D">
        <w:t>lub</w:t>
      </w:r>
      <w:r>
        <w:t> </w:t>
      </w:r>
      <w:r w:rsidR="00243057">
        <w:t xml:space="preserve">adresem email: </w:t>
      </w:r>
      <w:hyperlink r:id="rId8" w:history="1">
        <w:r w:rsidRPr="00737D1D">
          <w:rPr>
            <w:rStyle w:val="Hipercze"/>
          </w:rPr>
          <w:t>help_desk_SOWA_EFS_CST@warmia.mazury.pl</w:t>
        </w:r>
      </w:hyperlink>
      <w:r w:rsidR="00AF5D6C">
        <w:rPr>
          <w:rStyle w:val="Hipercze"/>
          <w:u w:val="none"/>
        </w:rPr>
        <w:t>.</w:t>
      </w:r>
    </w:p>
    <w:p w14:paraId="2AADA285" w14:textId="77777777" w:rsidR="00017D36" w:rsidRPr="00FA0083" w:rsidRDefault="00017D36" w:rsidP="001C3CAC">
      <w:pPr>
        <w:pStyle w:val="TreNum-K"/>
        <w:numPr>
          <w:ilvl w:val="0"/>
          <w:numId w:val="0"/>
        </w:numPr>
        <w:jc w:val="left"/>
      </w:pPr>
      <w:r w:rsidRPr="00737D1D">
        <w:lastRenderedPageBreak/>
        <w:t>Ponadto informu</w:t>
      </w:r>
      <w:r w:rsidR="005954DE">
        <w:t>jemy, iż istnieje możliwość zgłasza</w:t>
      </w:r>
      <w:r w:rsidRPr="00737D1D">
        <w:t>nia problemów technicznych bezpośrednio w systemie  SOWA EFS</w:t>
      </w:r>
      <w:r>
        <w:t xml:space="preserve"> (całodobowo) pod linkiem:</w:t>
      </w:r>
      <w:r>
        <w:rPr>
          <w:rFonts w:eastAsia="Times New Roman"/>
          <w:color w:val="0000FF"/>
          <w:szCs w:val="20"/>
          <w:u w:val="single"/>
          <w:lang w:eastAsia="pl-PL"/>
        </w:rPr>
        <w:t xml:space="preserve"> </w:t>
      </w:r>
      <w:hyperlink r:id="rId9" w:history="1">
        <w:r w:rsidRPr="00737D1D">
          <w:rPr>
            <w:rStyle w:val="Hipercze"/>
          </w:rPr>
          <w:t>https://sowa2021.efs.gov.pl</w:t>
        </w:r>
      </w:hyperlink>
      <w:r w:rsidRPr="00737D1D">
        <w:t>. (zakładka „Wsparcie techniczne</w:t>
      </w:r>
      <w:r>
        <w:t>”</w:t>
      </w:r>
      <w:r w:rsidRPr="00737D1D">
        <w:t>).</w:t>
      </w:r>
    </w:p>
    <w:p w14:paraId="62408D2C" w14:textId="77777777" w:rsidR="001C3CAC" w:rsidRPr="001C3CAC" w:rsidRDefault="00D6679F" w:rsidP="00940EA3">
      <w:pPr>
        <w:pStyle w:val="TreNum-K"/>
        <w:numPr>
          <w:ilvl w:val="0"/>
          <w:numId w:val="23"/>
        </w:numPr>
        <w:jc w:val="left"/>
      </w:pPr>
      <w:r w:rsidRPr="00670252">
        <w:t>Po złożeniu wniosku o dofinansowanie podstawowym narzędziem komunikacji między wnioskodawcą a ION jest SOWA EFS.</w:t>
      </w:r>
    </w:p>
    <w:p w14:paraId="6174CE6A" w14:textId="77777777" w:rsidR="00F54FBA" w:rsidRDefault="001C3CAC" w:rsidP="00E33E29">
      <w:pPr>
        <w:pStyle w:val="Rozdzia-K"/>
        <w:ind w:left="0"/>
        <w:jc w:val="left"/>
      </w:pPr>
      <w:r>
        <w:t xml:space="preserve"> </w:t>
      </w:r>
      <w:bookmarkStart w:id="14" w:name="_Toc137810482"/>
      <w:r w:rsidR="00D6679F" w:rsidRPr="00940EA3">
        <w:t>Składanie</w:t>
      </w:r>
      <w:r w:rsidR="00D6679F" w:rsidRPr="00D6679F">
        <w:t xml:space="preserve"> wniosku o dofinansowanie projektu</w:t>
      </w:r>
      <w:bookmarkEnd w:id="14"/>
    </w:p>
    <w:p w14:paraId="591F94E5" w14:textId="77777777" w:rsidR="00D6679F" w:rsidRPr="00D6679F" w:rsidRDefault="00D6679F" w:rsidP="00E33E29">
      <w:pPr>
        <w:pStyle w:val="Podrozdzia-K"/>
        <w:spacing w:line="480" w:lineRule="auto"/>
        <w:ind w:left="340"/>
        <w:jc w:val="left"/>
      </w:pPr>
      <w:bookmarkStart w:id="15" w:name="_Toc137810483"/>
      <w:r w:rsidRPr="00940EA3">
        <w:t>Formularz</w:t>
      </w:r>
      <w:r w:rsidRPr="00D6679F">
        <w:t xml:space="preserve"> wniosku o dofinansowanie</w:t>
      </w:r>
      <w:bookmarkEnd w:id="15"/>
    </w:p>
    <w:p w14:paraId="2B9FED9C" w14:textId="3E57EA9B" w:rsidR="003943D7" w:rsidRPr="00DA6D54" w:rsidRDefault="00D6679F" w:rsidP="003C751B">
      <w:pPr>
        <w:pStyle w:val="TreNum-K"/>
        <w:numPr>
          <w:ilvl w:val="0"/>
          <w:numId w:val="26"/>
        </w:numPr>
        <w:jc w:val="left"/>
      </w:pPr>
      <w:r w:rsidRPr="00DA6D54">
        <w:t xml:space="preserve">Warunkiem niezbędnym do ubiegania się o dofinansowanie jest wypełnienie w SOWA EFS wniosku o dofinansowanie projektu, którego wzór jest dostępny w SOWA EFS </w:t>
      </w:r>
      <w:r w:rsidR="001B0794">
        <w:br/>
      </w:r>
      <w:r w:rsidRPr="00DA6D54">
        <w:t>w zakładce</w:t>
      </w:r>
      <w:r w:rsidR="00670252">
        <w:t xml:space="preserve"> </w:t>
      </w:r>
      <w:r w:rsidRPr="00DA6D54">
        <w:t xml:space="preserve">Wzory dokumentów i złożenie go w formie wymaganej w regulaminie </w:t>
      </w:r>
      <w:r w:rsidR="001C316C">
        <w:t>wyboru projektów</w:t>
      </w:r>
      <w:r w:rsidRPr="00DA6D54">
        <w:t xml:space="preserve"> (podrozdział</w:t>
      </w:r>
      <w:r w:rsidR="00670252">
        <w:t xml:space="preserve"> </w:t>
      </w:r>
      <w:r w:rsidRPr="00DA6D54">
        <w:t>2.2). SOWA EFS dostępny jest z poziomu przeglądarki internetowej pod adresem:</w:t>
      </w:r>
      <w:r w:rsidR="00670252">
        <w:t xml:space="preserve"> </w:t>
      </w:r>
      <w:hyperlink r:id="rId10" w:history="1">
        <w:r w:rsidR="00670252" w:rsidRPr="00EE5E78">
          <w:rPr>
            <w:rStyle w:val="Hipercze"/>
            <w:bCs/>
          </w:rPr>
          <w:t>https://sowa2021.efs.gov.pl/</w:t>
        </w:r>
      </w:hyperlink>
      <w:r w:rsidRPr="00DA6D54">
        <w:t>.</w:t>
      </w:r>
    </w:p>
    <w:p w14:paraId="316B3A09" w14:textId="77777777" w:rsidR="00EE5E78" w:rsidRDefault="00D6679F" w:rsidP="001C3CAC">
      <w:pPr>
        <w:pStyle w:val="TreNum-K"/>
        <w:numPr>
          <w:ilvl w:val="0"/>
          <w:numId w:val="23"/>
        </w:numPr>
        <w:jc w:val="left"/>
      </w:pPr>
      <w:r w:rsidRPr="00DA6D54">
        <w:t>Każdy użytkownik systemu musi posiadać aktywne konto użytkownika. Wnioskodawcy</w:t>
      </w:r>
      <w:r w:rsidR="00670252">
        <w:t xml:space="preserve"> </w:t>
      </w:r>
      <w:r w:rsidRPr="00DA6D54">
        <w:t>(beneficjenci) zakładają konto samodzielnie wchodząc w sy</w:t>
      </w:r>
      <w:r w:rsidR="00EE5E78">
        <w:t xml:space="preserve">stemie na zakładkę </w:t>
      </w:r>
      <w:r w:rsidR="004E7203">
        <w:t>„</w:t>
      </w:r>
      <w:r w:rsidR="00EE5E78">
        <w:t>Załóż konto</w:t>
      </w:r>
      <w:r w:rsidR="004E7203">
        <w:t>”</w:t>
      </w:r>
      <w:r w:rsidR="00EE5E78">
        <w:t>.</w:t>
      </w:r>
    </w:p>
    <w:p w14:paraId="799E463B" w14:textId="77777777" w:rsidR="00C873BD" w:rsidRPr="003943D7" w:rsidRDefault="00D6679F" w:rsidP="00940EA3">
      <w:pPr>
        <w:pStyle w:val="TreNum-K"/>
        <w:numPr>
          <w:ilvl w:val="0"/>
          <w:numId w:val="23"/>
        </w:numPr>
        <w:jc w:val="left"/>
      </w:pPr>
      <w:r w:rsidRPr="00DA6D54">
        <w:t xml:space="preserve">Szczegółowe informacje w zakresie zakładania konta oraz obsługi systemu znajdują się </w:t>
      </w:r>
      <w:r w:rsidR="00F54FBA">
        <w:br/>
      </w:r>
      <w:r w:rsidRPr="00DA6D54">
        <w:t>w</w:t>
      </w:r>
      <w:r w:rsidR="00670252">
        <w:t xml:space="preserve"> </w:t>
      </w:r>
      <w:r w:rsidRPr="00DA6D54">
        <w:t xml:space="preserve">Instrukcji użytkownika SOWA EFS dla wnioskodawców/beneficjentów, która jest dostępna w SOWA EFS w zakładce </w:t>
      </w:r>
      <w:r w:rsidR="004E7203">
        <w:t>„</w:t>
      </w:r>
      <w:r w:rsidRPr="00DA6D54">
        <w:t>Pomoc</w:t>
      </w:r>
      <w:r w:rsidR="004E7203">
        <w:t>”</w:t>
      </w:r>
      <w:r w:rsidRPr="00DA6D54">
        <w:t>.</w:t>
      </w:r>
    </w:p>
    <w:p w14:paraId="47F932E7" w14:textId="77777777" w:rsidR="00D6679F" w:rsidRPr="00D6679F" w:rsidRDefault="00D6679F" w:rsidP="00E33E29">
      <w:pPr>
        <w:pStyle w:val="Podrozdzia-K"/>
        <w:spacing w:line="480" w:lineRule="auto"/>
        <w:ind w:left="340"/>
        <w:jc w:val="left"/>
      </w:pPr>
      <w:bookmarkStart w:id="16" w:name="_Toc137810484"/>
      <w:r w:rsidRPr="00D6679F">
        <w:t>Termin i forma składania wniosku o dofinansowanie</w:t>
      </w:r>
      <w:bookmarkEnd w:id="16"/>
    </w:p>
    <w:p w14:paraId="3E22B04B" w14:textId="77777777" w:rsidR="00630580" w:rsidRPr="00630580" w:rsidRDefault="00630580" w:rsidP="001C3CAC">
      <w:pPr>
        <w:pStyle w:val="TreNum-K"/>
        <w:numPr>
          <w:ilvl w:val="0"/>
          <w:numId w:val="27"/>
        </w:numPr>
        <w:jc w:val="left"/>
      </w:pPr>
      <w:r>
        <w:t>Nabór</w:t>
      </w:r>
      <w:r w:rsidRPr="00630580">
        <w:t xml:space="preserve"> ma charak</w:t>
      </w:r>
      <w:r>
        <w:t xml:space="preserve">ter zamknięty i </w:t>
      </w:r>
      <w:r w:rsidRPr="00630580">
        <w:t xml:space="preserve">prowadzony </w:t>
      </w:r>
      <w:r>
        <w:t xml:space="preserve">będzie </w:t>
      </w:r>
      <w:r w:rsidRPr="00630580">
        <w:t xml:space="preserve">wyłącznie w formie elektronicznej za </w:t>
      </w:r>
      <w:r>
        <w:t>pośrednictwem systemu SOWA EFS:</w:t>
      </w:r>
    </w:p>
    <w:p w14:paraId="53D2080F" w14:textId="77777777" w:rsidR="00630580" w:rsidRPr="007E10B9" w:rsidRDefault="00630580" w:rsidP="00C873BD">
      <w:pPr>
        <w:spacing w:after="0"/>
        <w:jc w:val="center"/>
        <w:rPr>
          <w:rFonts w:cs="Arial"/>
          <w:b/>
        </w:rPr>
      </w:pPr>
      <w:r w:rsidRPr="007E10B9">
        <w:rPr>
          <w:rFonts w:cs="Arial"/>
          <w:b/>
        </w:rPr>
        <w:t>od dnia 3 lipca 2023 r.</w:t>
      </w:r>
    </w:p>
    <w:p w14:paraId="3B8C06FC" w14:textId="77777777" w:rsidR="00630580" w:rsidRPr="00630580" w:rsidRDefault="00630580" w:rsidP="00C873BD">
      <w:pPr>
        <w:spacing w:after="0"/>
        <w:jc w:val="center"/>
        <w:rPr>
          <w:rFonts w:cs="Arial"/>
          <w:bCs/>
        </w:rPr>
      </w:pPr>
      <w:r w:rsidRPr="00630580">
        <w:rPr>
          <w:rFonts w:cs="Arial"/>
          <w:bCs/>
        </w:rPr>
        <w:t>(otwarcie naboru – dzień rozpoczęcia naboru)</w:t>
      </w:r>
    </w:p>
    <w:p w14:paraId="05F4BBBB" w14:textId="77777777" w:rsidR="00630580" w:rsidRPr="007E10B9" w:rsidRDefault="00630580" w:rsidP="00C873BD">
      <w:pPr>
        <w:spacing w:after="0"/>
        <w:jc w:val="center"/>
        <w:rPr>
          <w:rFonts w:cs="Arial"/>
          <w:b/>
        </w:rPr>
      </w:pPr>
      <w:r w:rsidRPr="007E10B9">
        <w:rPr>
          <w:rFonts w:cs="Arial"/>
          <w:b/>
        </w:rPr>
        <w:t>do dnia 17 lipca 2023 r.</w:t>
      </w:r>
    </w:p>
    <w:p w14:paraId="18D2A1AB" w14:textId="77777777" w:rsidR="00630580" w:rsidRDefault="00630580" w:rsidP="00C873BD">
      <w:pPr>
        <w:spacing w:after="0"/>
        <w:jc w:val="center"/>
        <w:rPr>
          <w:rFonts w:cs="Arial"/>
          <w:b/>
        </w:rPr>
      </w:pPr>
      <w:r w:rsidRPr="00630580">
        <w:rPr>
          <w:rFonts w:cs="Arial"/>
          <w:bCs/>
        </w:rPr>
        <w:t>(zamknięcie naboru – dzień zakończenia naboru)</w:t>
      </w:r>
    </w:p>
    <w:p w14:paraId="6390E174" w14:textId="77777777" w:rsidR="00630580" w:rsidRPr="00EE5E78" w:rsidRDefault="00630580" w:rsidP="001C3CAC">
      <w:pPr>
        <w:pStyle w:val="TreNum-K"/>
        <w:numPr>
          <w:ilvl w:val="0"/>
          <w:numId w:val="27"/>
        </w:numPr>
        <w:jc w:val="left"/>
        <w:rPr>
          <w:rStyle w:val="markedcontent"/>
        </w:rPr>
      </w:pPr>
      <w:r w:rsidRPr="00EE5E78">
        <w:rPr>
          <w:rStyle w:val="markedcontent"/>
        </w:rPr>
        <w:t>Nabór rozpoczyna się w dniu udostępnienia formularza wniosku</w:t>
      </w:r>
      <w:r w:rsidRPr="00EE5E78">
        <w:t xml:space="preserve"> </w:t>
      </w:r>
      <w:r w:rsidRPr="00EE5E78">
        <w:rPr>
          <w:rStyle w:val="markedcontent"/>
        </w:rPr>
        <w:t>o dofinansowanie projektu w SOWA EFS w sposób umożliwiający składanie wniosków o dofinansowanie projektu.</w:t>
      </w:r>
    </w:p>
    <w:p w14:paraId="48261228" w14:textId="77777777" w:rsidR="00630580" w:rsidRPr="00EE5E78" w:rsidRDefault="00D6679F" w:rsidP="001C3CAC">
      <w:pPr>
        <w:pStyle w:val="TreNum-K"/>
        <w:numPr>
          <w:ilvl w:val="0"/>
          <w:numId w:val="27"/>
        </w:numPr>
        <w:jc w:val="left"/>
      </w:pPr>
      <w:r w:rsidRPr="00EE5E78">
        <w:t xml:space="preserve">Wniosek w ramach naboru należy złożyć na obowiązującym formularzu, wyłącznie </w:t>
      </w:r>
      <w:r w:rsidR="002D615F">
        <w:br/>
      </w:r>
      <w:r w:rsidRPr="00EE5E78">
        <w:t>w formie elektronicznej za pośrednictwem SOWA EFS w ramach utworzonego przez ION naboru. Wniosek złożony w innej formie nie będzie podlegał ocenie.</w:t>
      </w:r>
    </w:p>
    <w:p w14:paraId="77935B66" w14:textId="77777777" w:rsidR="00630580" w:rsidRPr="00EE5E78" w:rsidRDefault="00D6679F" w:rsidP="001C3CAC">
      <w:pPr>
        <w:pStyle w:val="TreNum-K"/>
        <w:numPr>
          <w:ilvl w:val="0"/>
          <w:numId w:val="27"/>
        </w:numPr>
        <w:jc w:val="left"/>
      </w:pPr>
      <w:r w:rsidRPr="00EE5E78">
        <w:t xml:space="preserve">Za datę wpływu wniosku o dofinansowanie należy uznać datę złożenia wersji elektronicznej wniosku w SOWA EFS. </w:t>
      </w:r>
    </w:p>
    <w:p w14:paraId="6B265435" w14:textId="77777777" w:rsidR="00C873BD" w:rsidRDefault="006878D9" w:rsidP="00940EA3">
      <w:pPr>
        <w:pStyle w:val="TreNum-K"/>
        <w:numPr>
          <w:ilvl w:val="0"/>
          <w:numId w:val="27"/>
        </w:numPr>
        <w:jc w:val="left"/>
        <w:rPr>
          <w:rStyle w:val="markedcontent"/>
        </w:rPr>
      </w:pPr>
      <w:r>
        <w:rPr>
          <w:rStyle w:val="markedcontent"/>
        </w:rPr>
        <w:lastRenderedPageBreak/>
        <w:t xml:space="preserve">Wniosek o dofinansowanie projektu należy opracować </w:t>
      </w:r>
      <w:r w:rsidRPr="006878D9">
        <w:rPr>
          <w:rStyle w:val="markedcontent"/>
          <w:b/>
        </w:rPr>
        <w:t>z wykorzystaniem</w:t>
      </w:r>
      <w:r w:rsidRPr="006878D9">
        <w:rPr>
          <w:b/>
        </w:rPr>
        <w:t xml:space="preserve"> </w:t>
      </w:r>
      <w:r w:rsidRPr="006878D9">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(https://sowa2021.efs.gov.pl/).</w:t>
      </w:r>
      <w:r>
        <w:t xml:space="preserve"> </w:t>
      </w:r>
      <w:r>
        <w:rPr>
          <w:rStyle w:val="markedcontent"/>
        </w:rPr>
        <w:t>Instrukcja użytkownika Systemu Obsługi Wniosków Aplikacyjnych Europejskiego</w:t>
      </w:r>
      <w:r>
        <w:t xml:space="preserve"> </w:t>
      </w:r>
      <w:r>
        <w:rPr>
          <w:rStyle w:val="markedcontent"/>
        </w:rPr>
        <w:t>Funduszu Społecznego (SOWA EFS) dla Wnioskodawców/</w:t>
      </w:r>
      <w:r w:rsidR="004E7203">
        <w:rPr>
          <w:rStyle w:val="markedcontent"/>
        </w:rPr>
        <w:t xml:space="preserve"> </w:t>
      </w:r>
      <w:r>
        <w:rPr>
          <w:rStyle w:val="markedcontent"/>
        </w:rPr>
        <w:t>Beneficjentów dostępna je</w:t>
      </w:r>
      <w:r w:rsidR="001C316C">
        <w:rPr>
          <w:rStyle w:val="markedcontent"/>
        </w:rPr>
        <w:t>st na ww. stronie internetowej.</w:t>
      </w:r>
    </w:p>
    <w:p w14:paraId="387974B5" w14:textId="77777777" w:rsidR="00D6679F" w:rsidRPr="00D6679F" w:rsidRDefault="005E237D" w:rsidP="00E33E29">
      <w:pPr>
        <w:pStyle w:val="Rozdzia-K"/>
        <w:ind w:left="0"/>
      </w:pPr>
      <w:r>
        <w:t xml:space="preserve"> </w:t>
      </w:r>
      <w:bookmarkStart w:id="17" w:name="_Toc137810485"/>
      <w:r w:rsidR="00E15D13" w:rsidRPr="00940EA3">
        <w:t>Wymagania</w:t>
      </w:r>
      <w:r w:rsidR="00E15D13">
        <w:t xml:space="preserve"> dotyczące projektu</w:t>
      </w:r>
      <w:bookmarkEnd w:id="17"/>
    </w:p>
    <w:p w14:paraId="267F1C8C" w14:textId="77777777" w:rsidR="00D6679F" w:rsidRPr="00D6679F" w:rsidRDefault="00D6679F" w:rsidP="00E33E29">
      <w:pPr>
        <w:pStyle w:val="Podrozdzia-K"/>
        <w:spacing w:line="480" w:lineRule="auto"/>
        <w:ind w:left="340"/>
        <w:jc w:val="left"/>
      </w:pPr>
      <w:bookmarkStart w:id="18" w:name="_Toc137810486"/>
      <w:r w:rsidRPr="00D6679F">
        <w:t>Podmioty uprawnione do ubiegania się o dofinansowanie</w:t>
      </w:r>
      <w:r w:rsidR="00E15D13">
        <w:t xml:space="preserve"> (Wnioskodawca)</w:t>
      </w:r>
      <w:bookmarkEnd w:id="18"/>
    </w:p>
    <w:p w14:paraId="7576E3B3" w14:textId="77777777" w:rsidR="00C873BD" w:rsidRPr="00DA6D54" w:rsidRDefault="00E33CE3" w:rsidP="001C3CAC">
      <w:pPr>
        <w:spacing w:after="0"/>
        <w:rPr>
          <w:bCs/>
        </w:rPr>
      </w:pPr>
      <w:r>
        <w:rPr>
          <w:rFonts w:cs="Arial"/>
          <w:bCs/>
        </w:rPr>
        <w:t>Podmiotem uprawnionym</w:t>
      </w:r>
      <w:r w:rsidR="00DA6D54" w:rsidRPr="00670252">
        <w:rPr>
          <w:bCs/>
        </w:rPr>
        <w:t xml:space="preserve"> do ubiegania się o dofinansowanie </w:t>
      </w:r>
      <w:r w:rsidR="001C316C">
        <w:rPr>
          <w:bCs/>
        </w:rPr>
        <w:t>w ramach przedmiotowego naboru</w:t>
      </w:r>
      <w:r w:rsidR="00DA6D54" w:rsidRPr="00670252">
        <w:rPr>
          <w:bCs/>
        </w:rPr>
        <w:t xml:space="preserve"> jest </w:t>
      </w:r>
      <w:r w:rsidRPr="00A50A66">
        <w:rPr>
          <w:bCs/>
        </w:rPr>
        <w:t xml:space="preserve">Województwo Warmińsko-Mazurskie, </w:t>
      </w:r>
      <w:proofErr w:type="spellStart"/>
      <w:r w:rsidR="00A50A66" w:rsidRPr="00A50A66">
        <w:rPr>
          <w:bCs/>
        </w:rPr>
        <w:t>Urzęd</w:t>
      </w:r>
      <w:proofErr w:type="spellEnd"/>
      <w:r w:rsidR="00A50A66" w:rsidRPr="00A50A66">
        <w:rPr>
          <w:bCs/>
        </w:rPr>
        <w:t xml:space="preserve"> Marszałkowski Województwa Warmińsko-Mazurskiego w Olsztynie - </w:t>
      </w:r>
      <w:r w:rsidR="00DA6D54" w:rsidRPr="00A50A66">
        <w:rPr>
          <w:bCs/>
        </w:rPr>
        <w:t>Biuro Dialogu i Pożytku Publicznego</w:t>
      </w:r>
      <w:r w:rsidR="001114A6" w:rsidRPr="001C316C">
        <w:rPr>
          <w:bCs/>
        </w:rPr>
        <w:t>, zwane dalej Wnioskodawcą.</w:t>
      </w:r>
    </w:p>
    <w:p w14:paraId="6D0A36BF" w14:textId="77777777" w:rsidR="001C316C" w:rsidRDefault="001C316C" w:rsidP="00E33E29">
      <w:pPr>
        <w:pStyle w:val="Podrozdzia-K"/>
        <w:spacing w:line="480" w:lineRule="auto"/>
        <w:ind w:left="340"/>
        <w:jc w:val="left"/>
      </w:pPr>
      <w:bookmarkStart w:id="19" w:name="_Toc137810487"/>
      <w:r w:rsidRPr="00940EA3">
        <w:t>Okres</w:t>
      </w:r>
      <w:r>
        <w:t xml:space="preserve"> realizacji projektu</w:t>
      </w:r>
      <w:bookmarkEnd w:id="19"/>
    </w:p>
    <w:p w14:paraId="3BE32CCE" w14:textId="77777777" w:rsidR="00C873BD" w:rsidRPr="00940EA3" w:rsidRDefault="001C316C" w:rsidP="001C3CAC">
      <w:pPr>
        <w:pStyle w:val="TreNum-K"/>
        <w:numPr>
          <w:ilvl w:val="0"/>
          <w:numId w:val="0"/>
        </w:numPr>
        <w:jc w:val="left"/>
        <w:rPr>
          <w:b/>
          <w:bCs/>
        </w:rPr>
      </w:pPr>
      <w:r>
        <w:t xml:space="preserve">Zakładany okres realizacji projektu powinien mieścić się w przedziale </w:t>
      </w:r>
      <w:r w:rsidRPr="00C873BD">
        <w:rPr>
          <w:b/>
          <w:bCs/>
        </w:rPr>
        <w:t>od 1 września 2023 r. do 31 grudnia 2027 r.</w:t>
      </w:r>
    </w:p>
    <w:p w14:paraId="153AB893" w14:textId="77777777" w:rsidR="00D918C0" w:rsidRPr="00C80724" w:rsidRDefault="00E15D13" w:rsidP="00E33E29">
      <w:pPr>
        <w:pStyle w:val="Podrozdzia-K"/>
        <w:spacing w:line="480" w:lineRule="auto"/>
        <w:ind w:left="340"/>
        <w:jc w:val="left"/>
      </w:pPr>
      <w:bookmarkStart w:id="20" w:name="_Toc137810488"/>
      <w:r w:rsidRPr="00C80724">
        <w:t>Grupa docelowa</w:t>
      </w:r>
      <w:bookmarkEnd w:id="20"/>
    </w:p>
    <w:p w14:paraId="08C79BCC" w14:textId="77777777" w:rsidR="00C80724" w:rsidRDefault="00C80724" w:rsidP="001C3CAC">
      <w:pPr>
        <w:spacing w:after="0"/>
        <w:rPr>
          <w:rFonts w:cs="Arial"/>
          <w:bCs/>
        </w:rPr>
      </w:pPr>
      <w:r w:rsidRPr="00C80724">
        <w:rPr>
          <w:rFonts w:cs="Arial"/>
          <w:bCs/>
        </w:rPr>
        <w:t>Wsparcie zaplanowane w projekcie musi być skierow</w:t>
      </w:r>
      <w:r>
        <w:rPr>
          <w:rFonts w:cs="Arial"/>
          <w:bCs/>
        </w:rPr>
        <w:t>ane bezpośrednio do następującej</w:t>
      </w:r>
      <w:r w:rsidRPr="00C80724">
        <w:rPr>
          <w:rFonts w:cs="Arial"/>
          <w:bCs/>
        </w:rPr>
        <w:t xml:space="preserve"> grup</w:t>
      </w:r>
      <w:r>
        <w:rPr>
          <w:rFonts w:cs="Arial"/>
          <w:bCs/>
        </w:rPr>
        <w:t>y</w:t>
      </w:r>
      <w:r w:rsidRPr="00C80724">
        <w:rPr>
          <w:rFonts w:cs="Arial"/>
          <w:bCs/>
        </w:rPr>
        <w:t xml:space="preserve"> odbiorców: </w:t>
      </w:r>
    </w:p>
    <w:p w14:paraId="6CB0A405" w14:textId="77777777" w:rsidR="00C873BD" w:rsidRPr="00A66CA6" w:rsidRDefault="00C80724" w:rsidP="001C3CAC">
      <w:pPr>
        <w:spacing w:after="0"/>
        <w:rPr>
          <w:rFonts w:cs="Arial"/>
          <w:bCs/>
        </w:rPr>
      </w:pPr>
      <w:r>
        <w:rPr>
          <w:rFonts w:cs="Arial"/>
          <w:bCs/>
        </w:rPr>
        <w:t xml:space="preserve">- </w:t>
      </w:r>
      <w:r w:rsidR="00A66CA6">
        <w:rPr>
          <w:rFonts w:cs="Arial"/>
          <w:bCs/>
        </w:rPr>
        <w:t xml:space="preserve">uczniowie szkół z terenu województwa warmińsko-mazurskiego w przedziale wiekowym </w:t>
      </w:r>
      <w:r w:rsidR="00F53A30">
        <w:rPr>
          <w:rFonts w:cs="Arial"/>
          <w:bCs/>
        </w:rPr>
        <w:br/>
      </w:r>
      <w:r w:rsidR="00A66CA6">
        <w:rPr>
          <w:rFonts w:cs="Arial"/>
          <w:bCs/>
        </w:rPr>
        <w:t>12-19 lat.</w:t>
      </w:r>
    </w:p>
    <w:p w14:paraId="4F913586" w14:textId="77777777" w:rsidR="00A66CA6" w:rsidRPr="00A66CA6" w:rsidRDefault="00E15D13" w:rsidP="00E33E29">
      <w:pPr>
        <w:pStyle w:val="Podrozdzia-K"/>
        <w:spacing w:line="480" w:lineRule="auto"/>
        <w:ind w:left="340"/>
        <w:jc w:val="left"/>
      </w:pPr>
      <w:bookmarkStart w:id="21" w:name="_Toc137810489"/>
      <w:r w:rsidRPr="00940EA3">
        <w:t>Wskaźniki</w:t>
      </w:r>
      <w:r w:rsidRPr="00D6679F">
        <w:t xml:space="preserve"> do osiągnięcia</w:t>
      </w:r>
      <w:bookmarkEnd w:id="21"/>
    </w:p>
    <w:p w14:paraId="10BF2A21" w14:textId="77777777" w:rsidR="0068041B" w:rsidRPr="004231EF" w:rsidRDefault="0068041B" w:rsidP="001C3CAC">
      <w:pPr>
        <w:rPr>
          <w:rFonts w:cstheme="minorHAnsi"/>
        </w:rPr>
      </w:pPr>
      <w:r w:rsidRPr="004231EF">
        <w:rPr>
          <w:rFonts w:cstheme="minorHAnsi"/>
        </w:rPr>
        <w:t>Realizacja celu projektu mierzona jest poprzez ustalenie wskaźników określonych dla projektu. Dla niniejszego naboru określone zostały następujące wskaźniki:</w:t>
      </w:r>
    </w:p>
    <w:tbl>
      <w:tblPr>
        <w:tblStyle w:val="Tabela-Siatka"/>
        <w:tblW w:w="0" w:type="auto"/>
        <w:tblLook w:val="04A0" w:firstRow="1" w:lastRow="0" w:firstColumn="1" w:lastColumn="0" w:noHBand="0" w:noVBand="1"/>
      </w:tblPr>
      <w:tblGrid>
        <w:gridCol w:w="704"/>
        <w:gridCol w:w="3827"/>
        <w:gridCol w:w="4531"/>
      </w:tblGrid>
      <w:tr w:rsidR="0068041B" w:rsidRPr="004231EF" w14:paraId="066C0AB7" w14:textId="77777777" w:rsidTr="00C67FA4">
        <w:trPr>
          <w:trHeight w:val="570"/>
        </w:trPr>
        <w:tc>
          <w:tcPr>
            <w:tcW w:w="704" w:type="dxa"/>
            <w:shd w:val="clear" w:color="auto" w:fill="4472C4" w:themeFill="accent1"/>
            <w:vAlign w:val="center"/>
          </w:tcPr>
          <w:p w14:paraId="10BFDC4E" w14:textId="77777777" w:rsidR="0068041B" w:rsidRPr="004231EF" w:rsidRDefault="0068041B" w:rsidP="001C3CAC">
            <w:pPr>
              <w:spacing w:line="240" w:lineRule="auto"/>
              <w:rPr>
                <w:rFonts w:cstheme="minorHAnsi"/>
                <w:b/>
                <w:color w:val="FFFFFF" w:themeColor="background1"/>
              </w:rPr>
            </w:pPr>
            <w:r w:rsidRPr="004231EF">
              <w:rPr>
                <w:rFonts w:cstheme="minorHAnsi"/>
                <w:b/>
                <w:color w:val="FFFFFF" w:themeColor="background1"/>
              </w:rPr>
              <w:t>Lp.</w:t>
            </w:r>
          </w:p>
        </w:tc>
        <w:tc>
          <w:tcPr>
            <w:tcW w:w="3827" w:type="dxa"/>
            <w:shd w:val="clear" w:color="auto" w:fill="4472C4" w:themeFill="accent1"/>
            <w:vAlign w:val="center"/>
          </w:tcPr>
          <w:p w14:paraId="2B73452C" w14:textId="77777777" w:rsidR="0068041B" w:rsidRPr="004231EF" w:rsidRDefault="0068041B" w:rsidP="001C3CAC">
            <w:pPr>
              <w:spacing w:line="240" w:lineRule="auto"/>
              <w:rPr>
                <w:rFonts w:cstheme="minorHAnsi"/>
                <w:b/>
                <w:color w:val="FFFFFF" w:themeColor="background1"/>
              </w:rPr>
            </w:pPr>
            <w:r w:rsidRPr="004231EF">
              <w:rPr>
                <w:rFonts w:cstheme="minorHAnsi"/>
                <w:b/>
                <w:color w:val="FFFFFF" w:themeColor="background1"/>
              </w:rPr>
              <w:t>Wskaźniki rezultatu bezpośredniego</w:t>
            </w:r>
          </w:p>
        </w:tc>
        <w:tc>
          <w:tcPr>
            <w:tcW w:w="4531" w:type="dxa"/>
            <w:shd w:val="clear" w:color="auto" w:fill="4472C4" w:themeFill="accent1"/>
            <w:vAlign w:val="center"/>
          </w:tcPr>
          <w:p w14:paraId="0031829A" w14:textId="77777777" w:rsidR="0068041B" w:rsidRPr="004231EF" w:rsidRDefault="0068041B" w:rsidP="001C3CAC">
            <w:pPr>
              <w:spacing w:line="240" w:lineRule="auto"/>
              <w:rPr>
                <w:rFonts w:cstheme="minorHAnsi"/>
                <w:b/>
                <w:color w:val="FFFFFF" w:themeColor="background1"/>
              </w:rPr>
            </w:pPr>
            <w:r w:rsidRPr="004231EF">
              <w:rPr>
                <w:rFonts w:cstheme="minorHAnsi"/>
                <w:b/>
                <w:color w:val="FFFFFF" w:themeColor="background1"/>
              </w:rPr>
              <w:t>Wskaźniki produktu</w:t>
            </w:r>
          </w:p>
        </w:tc>
      </w:tr>
      <w:tr w:rsidR="0068041B" w:rsidRPr="004231EF" w14:paraId="2C9FB6B9" w14:textId="77777777" w:rsidTr="00C67FA4">
        <w:trPr>
          <w:trHeight w:val="724"/>
        </w:trPr>
        <w:tc>
          <w:tcPr>
            <w:tcW w:w="704" w:type="dxa"/>
            <w:shd w:val="clear" w:color="auto" w:fill="4472C4" w:themeFill="accent1"/>
            <w:vAlign w:val="center"/>
          </w:tcPr>
          <w:p w14:paraId="79E3CDDE" w14:textId="77777777" w:rsidR="0068041B" w:rsidRPr="004231EF" w:rsidRDefault="0068041B" w:rsidP="001C3CAC">
            <w:pPr>
              <w:spacing w:line="240" w:lineRule="auto"/>
              <w:rPr>
                <w:rFonts w:cstheme="minorHAnsi"/>
                <w:b/>
                <w:color w:val="FFFFFF" w:themeColor="background1"/>
              </w:rPr>
            </w:pPr>
            <w:r>
              <w:rPr>
                <w:rFonts w:cstheme="minorHAnsi"/>
                <w:b/>
                <w:color w:val="FFFFFF" w:themeColor="background1"/>
              </w:rPr>
              <w:t>1.</w:t>
            </w:r>
          </w:p>
        </w:tc>
        <w:tc>
          <w:tcPr>
            <w:tcW w:w="3827" w:type="dxa"/>
            <w:vAlign w:val="center"/>
          </w:tcPr>
          <w:p w14:paraId="335DBF7C" w14:textId="77777777" w:rsidR="0068041B" w:rsidRPr="004231EF" w:rsidRDefault="00A66CA6" w:rsidP="001C3CAC">
            <w:pPr>
              <w:spacing w:line="240" w:lineRule="auto"/>
              <w:rPr>
                <w:rFonts w:cstheme="minorHAnsi"/>
              </w:rPr>
            </w:pPr>
            <w:r>
              <w:rPr>
                <w:rFonts w:cstheme="minorHAnsi"/>
              </w:rPr>
              <w:t>Liczba uczniów, którzy nabyli kwalifikacje po opuszczeniu programu</w:t>
            </w:r>
            <w:r w:rsidR="001C316C">
              <w:rPr>
                <w:rFonts w:cstheme="minorHAnsi"/>
              </w:rPr>
              <w:t>.</w:t>
            </w:r>
          </w:p>
        </w:tc>
        <w:tc>
          <w:tcPr>
            <w:tcW w:w="4531" w:type="dxa"/>
            <w:vAlign w:val="center"/>
          </w:tcPr>
          <w:p w14:paraId="2E87D915" w14:textId="77777777" w:rsidR="0068041B" w:rsidRPr="004231EF" w:rsidRDefault="00A66CA6" w:rsidP="001C3CAC">
            <w:pPr>
              <w:spacing w:line="240" w:lineRule="auto"/>
              <w:rPr>
                <w:rFonts w:cstheme="minorHAnsi"/>
              </w:rPr>
            </w:pPr>
            <w:r>
              <w:t>Liczba uczniów szkół i placówek systemu oświaty prowadzących kształcenie ogólne objętych wsparciem.</w:t>
            </w:r>
          </w:p>
        </w:tc>
      </w:tr>
      <w:tr w:rsidR="005F7108" w:rsidRPr="004231EF" w14:paraId="20DF0F2D" w14:textId="77777777" w:rsidTr="00C67FA4">
        <w:trPr>
          <w:trHeight w:val="844"/>
        </w:trPr>
        <w:tc>
          <w:tcPr>
            <w:tcW w:w="704" w:type="dxa"/>
            <w:shd w:val="clear" w:color="auto" w:fill="4472C4" w:themeFill="accent1"/>
            <w:vAlign w:val="center"/>
          </w:tcPr>
          <w:p w14:paraId="0631A49D" w14:textId="77777777" w:rsidR="005F7108" w:rsidRPr="004231EF" w:rsidRDefault="005F7108" w:rsidP="001C3CAC">
            <w:pPr>
              <w:spacing w:line="240" w:lineRule="auto"/>
              <w:rPr>
                <w:rFonts w:cstheme="minorHAnsi"/>
                <w:b/>
                <w:color w:val="FFFFFF" w:themeColor="background1"/>
              </w:rPr>
            </w:pPr>
            <w:r>
              <w:rPr>
                <w:rFonts w:cstheme="minorHAnsi"/>
                <w:b/>
                <w:color w:val="FFFFFF" w:themeColor="background1"/>
              </w:rPr>
              <w:lastRenderedPageBreak/>
              <w:t>2</w:t>
            </w:r>
            <w:r w:rsidRPr="004231EF">
              <w:rPr>
                <w:rFonts w:cstheme="minorHAnsi"/>
                <w:b/>
                <w:color w:val="FFFFFF" w:themeColor="background1"/>
              </w:rPr>
              <w:t>.</w:t>
            </w:r>
          </w:p>
        </w:tc>
        <w:tc>
          <w:tcPr>
            <w:tcW w:w="3827" w:type="dxa"/>
            <w:vAlign w:val="center"/>
          </w:tcPr>
          <w:p w14:paraId="3984C080" w14:textId="77777777" w:rsidR="005F7108" w:rsidRPr="004231EF" w:rsidRDefault="005F7108" w:rsidP="001C3CAC">
            <w:pPr>
              <w:spacing w:line="240" w:lineRule="auto"/>
              <w:rPr>
                <w:rFonts w:cstheme="minorHAnsi"/>
              </w:rPr>
            </w:pPr>
          </w:p>
        </w:tc>
        <w:tc>
          <w:tcPr>
            <w:tcW w:w="4531" w:type="dxa"/>
            <w:vAlign w:val="center"/>
          </w:tcPr>
          <w:p w14:paraId="34D9C172" w14:textId="77777777" w:rsidR="005F7108" w:rsidRPr="00C873BD" w:rsidRDefault="005F7108" w:rsidP="001C3CAC">
            <w:pPr>
              <w:spacing w:line="240" w:lineRule="auto"/>
              <w:rPr>
                <w:rFonts w:cstheme="minorHAnsi"/>
              </w:rPr>
            </w:pPr>
            <w:r w:rsidRPr="00C873BD">
              <w:rPr>
                <w:rFonts w:cstheme="minorHAnsi"/>
              </w:rPr>
              <w:t>Liczba lokalnych koalicji, które zostaną utworzone na rzecz młodzieży w ramach projektu.</w:t>
            </w:r>
          </w:p>
        </w:tc>
      </w:tr>
      <w:tr w:rsidR="005F7108" w:rsidRPr="004231EF" w14:paraId="777C4627" w14:textId="77777777" w:rsidTr="00C67FA4">
        <w:trPr>
          <w:trHeight w:val="843"/>
        </w:trPr>
        <w:tc>
          <w:tcPr>
            <w:tcW w:w="704" w:type="dxa"/>
            <w:shd w:val="clear" w:color="auto" w:fill="4472C4" w:themeFill="accent1"/>
            <w:vAlign w:val="center"/>
          </w:tcPr>
          <w:p w14:paraId="2856063E" w14:textId="77777777" w:rsidR="005F7108" w:rsidRPr="004231EF" w:rsidRDefault="005F7108" w:rsidP="001C3CAC">
            <w:pPr>
              <w:spacing w:line="240" w:lineRule="auto"/>
              <w:rPr>
                <w:rFonts w:cstheme="minorHAnsi"/>
                <w:b/>
                <w:color w:val="FFFFFF" w:themeColor="background1"/>
              </w:rPr>
            </w:pPr>
            <w:r>
              <w:rPr>
                <w:rFonts w:cstheme="minorHAnsi"/>
                <w:b/>
                <w:color w:val="FFFFFF" w:themeColor="background1"/>
              </w:rPr>
              <w:t>3</w:t>
            </w:r>
            <w:r w:rsidRPr="004231EF">
              <w:rPr>
                <w:rFonts w:cstheme="minorHAnsi"/>
                <w:b/>
                <w:color w:val="FFFFFF" w:themeColor="background1"/>
              </w:rPr>
              <w:t>.</w:t>
            </w:r>
          </w:p>
        </w:tc>
        <w:tc>
          <w:tcPr>
            <w:tcW w:w="3827" w:type="dxa"/>
            <w:vAlign w:val="center"/>
          </w:tcPr>
          <w:p w14:paraId="073A4AA6" w14:textId="77777777" w:rsidR="005F7108" w:rsidRPr="004231EF" w:rsidRDefault="005F7108" w:rsidP="001C3CAC">
            <w:pPr>
              <w:spacing w:line="240" w:lineRule="auto"/>
              <w:rPr>
                <w:rFonts w:cstheme="minorHAnsi"/>
              </w:rPr>
            </w:pPr>
          </w:p>
        </w:tc>
        <w:tc>
          <w:tcPr>
            <w:tcW w:w="4531" w:type="dxa"/>
            <w:vAlign w:val="center"/>
          </w:tcPr>
          <w:p w14:paraId="624E78C7" w14:textId="77777777" w:rsidR="005F7108" w:rsidRPr="00C873BD" w:rsidRDefault="005F7108" w:rsidP="001C3CAC">
            <w:pPr>
              <w:spacing w:line="240" w:lineRule="auto"/>
              <w:rPr>
                <w:rFonts w:cstheme="minorHAnsi"/>
              </w:rPr>
            </w:pPr>
            <w:r w:rsidRPr="00C873BD">
              <w:rPr>
                <w:rFonts w:cstheme="minorHAnsi"/>
              </w:rPr>
              <w:t>Liczba podmiotów, które zostaną zaangażowane  w realizację działań na rzecz młodzieży w ramach lokalnych mechanizmów/narzędzi wsparcia aktywności i inicjatyw młodzieży w ramach projektu.</w:t>
            </w:r>
          </w:p>
        </w:tc>
      </w:tr>
      <w:tr w:rsidR="005F7108" w:rsidRPr="004231EF" w14:paraId="42E7C90C" w14:textId="77777777" w:rsidTr="00C67FA4">
        <w:trPr>
          <w:trHeight w:val="555"/>
        </w:trPr>
        <w:tc>
          <w:tcPr>
            <w:tcW w:w="704" w:type="dxa"/>
            <w:shd w:val="clear" w:color="auto" w:fill="4472C4" w:themeFill="accent1"/>
            <w:vAlign w:val="center"/>
          </w:tcPr>
          <w:p w14:paraId="759C3A87" w14:textId="77777777" w:rsidR="005F7108" w:rsidRPr="004231EF" w:rsidRDefault="005F7108" w:rsidP="001C3CAC">
            <w:pPr>
              <w:spacing w:line="240" w:lineRule="auto"/>
              <w:rPr>
                <w:rFonts w:cstheme="minorHAnsi"/>
                <w:b/>
                <w:color w:val="FFFFFF" w:themeColor="background1"/>
              </w:rPr>
            </w:pPr>
            <w:r>
              <w:rPr>
                <w:rFonts w:cstheme="minorHAnsi"/>
                <w:b/>
                <w:color w:val="FFFFFF" w:themeColor="background1"/>
              </w:rPr>
              <w:t>4</w:t>
            </w:r>
            <w:r w:rsidRPr="004231EF">
              <w:rPr>
                <w:rFonts w:cstheme="minorHAnsi"/>
                <w:b/>
                <w:color w:val="FFFFFF" w:themeColor="background1"/>
              </w:rPr>
              <w:t>.</w:t>
            </w:r>
          </w:p>
        </w:tc>
        <w:tc>
          <w:tcPr>
            <w:tcW w:w="3827" w:type="dxa"/>
            <w:vAlign w:val="center"/>
          </w:tcPr>
          <w:p w14:paraId="057E50B2" w14:textId="77777777" w:rsidR="005F7108" w:rsidRPr="004231EF" w:rsidRDefault="005F7108" w:rsidP="001C3CAC">
            <w:pPr>
              <w:spacing w:line="240" w:lineRule="auto"/>
              <w:rPr>
                <w:rFonts w:cstheme="minorHAnsi"/>
              </w:rPr>
            </w:pPr>
          </w:p>
        </w:tc>
        <w:tc>
          <w:tcPr>
            <w:tcW w:w="4531" w:type="dxa"/>
            <w:vAlign w:val="center"/>
          </w:tcPr>
          <w:p w14:paraId="59EA75AF" w14:textId="77777777" w:rsidR="005F7108" w:rsidRPr="00C873BD" w:rsidRDefault="005F7108" w:rsidP="001C3CAC">
            <w:pPr>
              <w:spacing w:line="240" w:lineRule="auto"/>
              <w:rPr>
                <w:rFonts w:cstheme="minorHAnsi"/>
              </w:rPr>
            </w:pPr>
            <w:r w:rsidRPr="00C873BD">
              <w:rPr>
                <w:rFonts w:cstheme="minorHAnsi"/>
              </w:rPr>
              <w:t>Liczba lokalnych mechanizmów/ narzędzi wspierania aktywności i inicjatyw młodzieży, które zostaną opracowane i wdrożone w ramach projektu.</w:t>
            </w:r>
          </w:p>
          <w:p w14:paraId="12B19D2F" w14:textId="77777777" w:rsidR="005F7108" w:rsidRPr="00C873BD" w:rsidRDefault="005F7108" w:rsidP="001C3CAC">
            <w:pPr>
              <w:spacing w:line="240" w:lineRule="auto"/>
              <w:rPr>
                <w:rFonts w:cstheme="minorHAnsi"/>
              </w:rPr>
            </w:pPr>
          </w:p>
        </w:tc>
      </w:tr>
      <w:tr w:rsidR="005F7108" w:rsidRPr="004231EF" w14:paraId="1B4E78AC" w14:textId="77777777" w:rsidTr="00C67FA4">
        <w:trPr>
          <w:trHeight w:val="993"/>
        </w:trPr>
        <w:tc>
          <w:tcPr>
            <w:tcW w:w="704" w:type="dxa"/>
            <w:shd w:val="clear" w:color="auto" w:fill="4472C4" w:themeFill="accent1"/>
            <w:vAlign w:val="center"/>
          </w:tcPr>
          <w:p w14:paraId="5118BB4F" w14:textId="77777777" w:rsidR="005F7108" w:rsidRPr="004231EF" w:rsidRDefault="005F7108" w:rsidP="001C3CAC">
            <w:pPr>
              <w:spacing w:line="240" w:lineRule="auto"/>
              <w:rPr>
                <w:rFonts w:cstheme="minorHAnsi"/>
                <w:b/>
                <w:color w:val="FFFFFF" w:themeColor="background1"/>
              </w:rPr>
            </w:pPr>
            <w:r>
              <w:rPr>
                <w:rFonts w:cstheme="minorHAnsi"/>
                <w:b/>
                <w:color w:val="FFFFFF" w:themeColor="background1"/>
              </w:rPr>
              <w:t>5</w:t>
            </w:r>
            <w:r w:rsidRPr="004231EF">
              <w:rPr>
                <w:rFonts w:cstheme="minorHAnsi"/>
                <w:b/>
                <w:color w:val="FFFFFF" w:themeColor="background1"/>
              </w:rPr>
              <w:t>.</w:t>
            </w:r>
          </w:p>
        </w:tc>
        <w:tc>
          <w:tcPr>
            <w:tcW w:w="3827" w:type="dxa"/>
            <w:vAlign w:val="center"/>
          </w:tcPr>
          <w:p w14:paraId="3CD69965" w14:textId="77777777" w:rsidR="005F7108" w:rsidRPr="004231EF" w:rsidRDefault="005F7108" w:rsidP="001C3CAC">
            <w:pPr>
              <w:spacing w:line="240" w:lineRule="auto"/>
              <w:rPr>
                <w:rFonts w:cstheme="minorHAnsi"/>
              </w:rPr>
            </w:pPr>
          </w:p>
        </w:tc>
        <w:tc>
          <w:tcPr>
            <w:tcW w:w="4531" w:type="dxa"/>
            <w:vAlign w:val="center"/>
          </w:tcPr>
          <w:p w14:paraId="0FC78D6A" w14:textId="77777777" w:rsidR="005F7108" w:rsidRPr="00C873BD" w:rsidRDefault="005F7108" w:rsidP="001C3CAC">
            <w:pPr>
              <w:spacing w:line="240" w:lineRule="auto"/>
              <w:rPr>
                <w:rFonts w:cstheme="minorHAnsi"/>
              </w:rPr>
            </w:pPr>
            <w:r w:rsidRPr="00C873BD">
              <w:rPr>
                <w:rFonts w:cstheme="minorHAnsi"/>
              </w:rPr>
              <w:t>Liczba uczniów objętych wsparciem w ramach projektu.</w:t>
            </w:r>
          </w:p>
          <w:p w14:paraId="7588C730" w14:textId="77777777" w:rsidR="005F7108" w:rsidRPr="00C873BD" w:rsidRDefault="005F7108" w:rsidP="001C3CAC">
            <w:pPr>
              <w:spacing w:line="240" w:lineRule="auto"/>
              <w:rPr>
                <w:rFonts w:cstheme="minorHAnsi"/>
              </w:rPr>
            </w:pPr>
          </w:p>
        </w:tc>
      </w:tr>
    </w:tbl>
    <w:p w14:paraId="2C781841" w14:textId="77777777" w:rsidR="0068041B" w:rsidRDefault="0068041B" w:rsidP="001C3CAC">
      <w:pPr>
        <w:spacing w:line="259" w:lineRule="auto"/>
        <w:rPr>
          <w:rFonts w:cs="Arial"/>
          <w:b/>
          <w:sz w:val="24"/>
          <w:szCs w:val="24"/>
        </w:rPr>
      </w:pPr>
    </w:p>
    <w:p w14:paraId="1647512E" w14:textId="77777777" w:rsidR="00D62EB7" w:rsidRPr="004231EF" w:rsidRDefault="00D62EB7" w:rsidP="001C3CAC">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Pr>
          <w:rFonts w:cstheme="minorHAnsi"/>
        </w:rPr>
        <w:t> </w:t>
      </w:r>
      <w:r w:rsidRPr="004231EF">
        <w:rPr>
          <w:rFonts w:cstheme="minorHAnsi"/>
        </w:rPr>
        <w:t>i</w:t>
      </w:r>
      <w:r>
        <w:rPr>
          <w:rFonts w:cstheme="minorHAnsi"/>
        </w:rPr>
        <w:t> </w:t>
      </w:r>
      <w:r w:rsidRPr="004231EF">
        <w:rPr>
          <w:rFonts w:cstheme="minorHAnsi"/>
        </w:rPr>
        <w:t>rezultatów.</w:t>
      </w:r>
    </w:p>
    <w:p w14:paraId="490203D6" w14:textId="77777777" w:rsidR="00D62EB7" w:rsidRPr="004231EF" w:rsidRDefault="00D62EB7" w:rsidP="001C3CAC">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6D5A166F" w14:textId="77777777" w:rsidR="00D62EB7" w:rsidRPr="004231EF" w:rsidRDefault="00D62EB7" w:rsidP="001C3CAC">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341B9D88" w14:textId="77777777" w:rsidR="00D62EB7" w:rsidRPr="004231EF" w:rsidRDefault="00D62EB7" w:rsidP="001C3CAC">
      <w:pPr>
        <w:rPr>
          <w:rFonts w:cstheme="minorHAnsi"/>
        </w:rPr>
      </w:pPr>
      <w:r w:rsidRPr="004231EF">
        <w:rPr>
          <w:rFonts w:cstheme="minorHAnsi"/>
          <w:b/>
        </w:rPr>
        <w:t>Wskaźniki rezultatu bezpośredniego</w:t>
      </w:r>
      <w:r w:rsidRPr="004231EF">
        <w:rPr>
          <w:rFonts w:cstheme="minorHAnsi"/>
        </w:rPr>
        <w:t xml:space="preserve"> dotyczą oczekiwanych efektów działań współfinansowanych z EFS+. W odniesieniu do osób lub podmiotów, określają efekt w</w:t>
      </w:r>
      <w:r>
        <w:rPr>
          <w:rFonts w:cstheme="minorHAnsi"/>
        </w:rPr>
        <w:t> </w:t>
      </w:r>
      <w:r w:rsidRPr="004231EF">
        <w:rPr>
          <w:rFonts w:cstheme="minorHAnsi"/>
        </w:rPr>
        <w:t xml:space="preserve">postaci zmiany sytuacji w momencie pomiaru w stosunku do sytuacji w momencie rozpoczęcia udziału w projekcie, np. w odniesieniu do nabycia nowych kwalifikacji. Wskaźnik rezultatu obrazuje efekt wsparcia udzielonego danej osobie lub podmiotowi i nie obejmuje efektów dotyczących grupy uczestników lub podmiotów, która nie otrzymała wsparcia. Wskaźniki rezultatu bezpośredniego odnoszą się do sytuacji bezpośrednio po zakończeniu </w:t>
      </w:r>
      <w:r w:rsidRPr="004231EF">
        <w:rPr>
          <w:rFonts w:cstheme="minorHAnsi"/>
        </w:rPr>
        <w:lastRenderedPageBreak/>
        <w:t>wsparcia, tj. w przypadku osób lub podmiotów – do 4 tygodni od zakończenia udziału przez uczestnika lub podmiot obejmowany wsparciem w projekcie, o ile definicja wskaźnika nie</w:t>
      </w:r>
      <w:r>
        <w:rPr>
          <w:rFonts w:cstheme="minorHAnsi"/>
        </w:rPr>
        <w:t> </w:t>
      </w:r>
      <w:r w:rsidRPr="004231EF">
        <w:rPr>
          <w:rFonts w:cstheme="minorHAnsi"/>
        </w:rPr>
        <w:t>wskazuje innego okresu. Dane dotyczące sytuacji uczestnika po upływie 4 tygodni od</w:t>
      </w:r>
      <w:r>
        <w:rPr>
          <w:rFonts w:cstheme="minorHAnsi"/>
        </w:rPr>
        <w:t> </w:t>
      </w:r>
      <w:r w:rsidRPr="004231EF">
        <w:rPr>
          <w:rFonts w:cstheme="minorHAnsi"/>
        </w:rPr>
        <w:t xml:space="preserve">zakończenia udziału w projekcie nie mogą być uwzględniane we wskaźnikach rezultatu bezpośredniego. </w:t>
      </w:r>
      <w:r w:rsidR="00717BF3">
        <w:rPr>
          <w:rFonts w:cstheme="minorHAnsi"/>
        </w:rPr>
        <w:br/>
      </w:r>
      <w:r w:rsidRPr="004231EF">
        <w:rPr>
          <w:rFonts w:cstheme="minorHAnsi"/>
        </w:rPr>
        <w:t>W przypadku powrotu uczestnika do projektu po uprzednio zakończonym udziale, informacje odnoszące się do wskaźników rezultatu bezpośredniego dla tego uczestnika powinny zostać usunięte, co powoduje konieczność zaktualizowania wartości wskaźników rezultatu. Ponowny pomiar wskaźników rezultatu bezpośredniego dla danego uczestnika będzie miał miejsce po zakończeniu jego udziału w projekcie.</w:t>
      </w:r>
    </w:p>
    <w:p w14:paraId="227731F7" w14:textId="77777777" w:rsidR="0003320F" w:rsidRDefault="00D62EB7" w:rsidP="001C3CAC">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 xml:space="preserve">Wskaźniki stanowią część projektu. Na poziomie wniosku o dofinansowanie, Wnioskodawca </w:t>
      </w:r>
      <w:r>
        <w:t>zobowiązany jest wykazać wskaźniki wskazane</w:t>
      </w:r>
      <w:r w:rsidRPr="004231EF">
        <w:t xml:space="preserve"> w Regulaminie wyboru projektów</w:t>
      </w:r>
      <w:r>
        <w:t xml:space="preserve">. </w:t>
      </w:r>
      <w:r w:rsidRPr="004231EF">
        <w:t>Wszystkim wskaźnikom uwzględnionym w projekcie należy p</w:t>
      </w:r>
      <w:r>
        <w:t xml:space="preserve">rzypisać wartości docelowe. </w:t>
      </w:r>
    </w:p>
    <w:p w14:paraId="51C4961D" w14:textId="77777777" w:rsidR="005F7108" w:rsidRPr="004231EF" w:rsidRDefault="005F7108" w:rsidP="00430A71">
      <w:pPr>
        <w:rPr>
          <w:rFonts w:cstheme="minorHAnsi"/>
        </w:rPr>
      </w:pPr>
      <w:r w:rsidRPr="004231EF">
        <w:rPr>
          <w:rFonts w:cstheme="minorHAnsi"/>
        </w:rPr>
        <w:t>Dodatkowo wnioskodawca zobowiązany jest do wykazania we wniosku o dofinansowanie projektu, a następnie do monitorowania na etapie realizacji projektu, również w przypadku zerowej wartości docelowej, poniższych wskaźników o charakterze informacyjnym:</w:t>
      </w:r>
    </w:p>
    <w:p w14:paraId="7DBFB803" w14:textId="77777777" w:rsidR="005F7108" w:rsidRPr="004231EF" w:rsidRDefault="005F7108" w:rsidP="00430A71">
      <w:pPr>
        <w:numPr>
          <w:ilvl w:val="0"/>
          <w:numId w:val="41"/>
        </w:numPr>
        <w:spacing w:after="120" w:line="259" w:lineRule="auto"/>
        <w:ind w:left="283" w:hanging="255"/>
        <w:contextualSpacing/>
        <w:rPr>
          <w:rFonts w:cstheme="minorHAnsi"/>
          <w:b/>
        </w:rPr>
      </w:pPr>
      <w:r w:rsidRPr="004231EF">
        <w:rPr>
          <w:rFonts w:cstheme="minorHAnsi"/>
          <w:b/>
        </w:rPr>
        <w:t>Liczba osób z niepełnosprawnościami objętych wsparciem w programie (osoby)</w:t>
      </w:r>
    </w:p>
    <w:p w14:paraId="3F03575B" w14:textId="77777777" w:rsidR="005F7108" w:rsidRPr="004231EF" w:rsidRDefault="005F7108" w:rsidP="001C3CAC">
      <w:pPr>
        <w:spacing w:before="240"/>
        <w:rPr>
          <w:rFonts w:cstheme="minorHAnsi"/>
        </w:rPr>
      </w:pPr>
      <w:r w:rsidRPr="004231EF">
        <w:rPr>
          <w:rFonts w:cstheme="minorHAnsi"/>
        </w:rPr>
        <w:t>Za osoby z niepełnosprawnościami uznaje się osoby niepełnosprawne w świetle przepisów ustawy z dnia 27 sierpnia 1997 r. o rehabilitacji zawodowej i społecznej oraz zatrudnianiu osób niepełnosprawnych, a także osoby z zaburzeniami psychicznymi, o których mowa w</w:t>
      </w:r>
      <w:r>
        <w:rPr>
          <w:rFonts w:cstheme="minorHAnsi"/>
        </w:rPr>
        <w:t> </w:t>
      </w:r>
      <w:r w:rsidRPr="004231EF">
        <w:rPr>
          <w:rFonts w:cstheme="minorHAnsi"/>
        </w:rPr>
        <w:t>ustawie z dnia</w:t>
      </w:r>
      <w:r>
        <w:rPr>
          <w:rFonts w:cstheme="minorHAnsi"/>
        </w:rPr>
        <w:t xml:space="preserve"> </w:t>
      </w:r>
      <w:r w:rsidRPr="004231EF">
        <w:rPr>
          <w:rFonts w:cstheme="minorHAnsi"/>
        </w:rPr>
        <w:t>19 sierpnia 1994 r. o ochronie zdrowia psychicznego tj. osoby</w:t>
      </w:r>
      <w:r w:rsidR="00430A71">
        <w:rPr>
          <w:rFonts w:cstheme="minorHAnsi"/>
        </w:rPr>
        <w:t xml:space="preserve"> </w:t>
      </w:r>
      <w:r w:rsidRPr="004231EF">
        <w:rPr>
          <w:rFonts w:cstheme="minorHAnsi"/>
        </w:rPr>
        <w:t>z</w:t>
      </w:r>
      <w:r>
        <w:rPr>
          <w:rFonts w:cstheme="minorHAnsi"/>
        </w:rPr>
        <w:t> </w:t>
      </w:r>
      <w:r w:rsidRPr="004231EF">
        <w:rPr>
          <w:rFonts w:cstheme="minorHAnsi"/>
        </w:rPr>
        <w:t xml:space="preserve">odpowiednim orzeczeniem lub innym dokumentem poświadczającym stan zdrowia. </w:t>
      </w:r>
    </w:p>
    <w:p w14:paraId="7E3B1918" w14:textId="77777777" w:rsidR="005F7108" w:rsidRPr="004231EF" w:rsidRDefault="005F7108" w:rsidP="00430A71">
      <w:pPr>
        <w:rPr>
          <w:rFonts w:cstheme="minorHAnsi"/>
        </w:rPr>
      </w:pPr>
      <w:r w:rsidRPr="004231EF">
        <w:rPr>
          <w:rFonts w:cstheme="minorHAnsi"/>
        </w:rPr>
        <w:t xml:space="preserve">Przynależność do grupy osób z niepełnosprawnościami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3C3EA228" w14:textId="6765E24D" w:rsidR="00430A71" w:rsidRDefault="005F7108" w:rsidP="00430A71">
      <w:pPr>
        <w:rPr>
          <w:rFonts w:cstheme="minorHAnsi"/>
        </w:rPr>
      </w:pPr>
      <w:r w:rsidRPr="00C62CB8">
        <w:rPr>
          <w:rFonts w:eastAsia="Calibri" w:cs="Arial"/>
          <w:b/>
          <w:color w:val="2F5496"/>
        </w:rPr>
        <w:t>UWAGA!</w:t>
      </w:r>
      <w:r w:rsidRPr="004231EF">
        <w:rPr>
          <w:rFonts w:cstheme="minorHAnsi"/>
        </w:rPr>
        <w:t xml:space="preserve"> W przypadku pojawienia się w projekcie osób z niepełnosprawnościami, monitorowanie wartości docelowej wskaźnika może odbywać się wyłącznie metodą zbierania </w:t>
      </w:r>
      <w:r w:rsidRPr="004231EF">
        <w:rPr>
          <w:rFonts w:cstheme="minorHAnsi"/>
        </w:rPr>
        <w:lastRenderedPageBreak/>
        <w:t xml:space="preserve">danych osobowych dotyczących tego wskaźnika od uczestników, a nie metodą wiarygodnych szacunków. </w:t>
      </w:r>
    </w:p>
    <w:p w14:paraId="4AA783E1" w14:textId="77777777" w:rsidR="00DA7E98" w:rsidRPr="008831C4" w:rsidRDefault="00DA7E98" w:rsidP="00430A71">
      <w:pPr>
        <w:rPr>
          <w:rFonts w:cstheme="minorHAnsi"/>
        </w:rPr>
      </w:pPr>
    </w:p>
    <w:p w14:paraId="49DFBCDC" w14:textId="77777777" w:rsidR="005F7108" w:rsidRPr="004231EF" w:rsidRDefault="005F7108" w:rsidP="00430A71">
      <w:pPr>
        <w:numPr>
          <w:ilvl w:val="0"/>
          <w:numId w:val="41"/>
        </w:numPr>
        <w:spacing w:after="0"/>
        <w:ind w:left="283" w:hanging="255"/>
        <w:contextualSpacing/>
        <w:rPr>
          <w:rFonts w:cstheme="minorHAnsi"/>
          <w:b/>
        </w:rPr>
      </w:pPr>
      <w:r w:rsidRPr="004231EF">
        <w:rPr>
          <w:rFonts w:cstheme="minorHAnsi"/>
          <w:b/>
        </w:rPr>
        <w:t>Liczba osób z krajów trzecich objętych wsparciem w programie (osoby)</w:t>
      </w:r>
    </w:p>
    <w:p w14:paraId="275D2614" w14:textId="77777777" w:rsidR="005F7108" w:rsidRPr="004231EF" w:rsidRDefault="005F7108" w:rsidP="00430A71">
      <w:pPr>
        <w:spacing w:after="0"/>
        <w:rPr>
          <w:rFonts w:cstheme="minorHAnsi"/>
        </w:rPr>
      </w:pPr>
      <w:r w:rsidRPr="004231EF">
        <w:rPr>
          <w:rFonts w:cstheme="minorHAnsi"/>
        </w:rPr>
        <w:t>Osoby, które są obywatelami krajów spoza UE. Do wskaźnika wlicza się też bezpaństwowców zgodnie z Konwencją o statusie bezpaństwowców z 1954 r. i osoby bez</w:t>
      </w:r>
      <w:r>
        <w:rPr>
          <w:rFonts w:cstheme="minorHAnsi"/>
        </w:rPr>
        <w:t> </w:t>
      </w:r>
      <w:r w:rsidRPr="004231EF">
        <w:rPr>
          <w:rFonts w:cstheme="minorHAnsi"/>
        </w:rPr>
        <w:t>ustalonego obywatelstwa.</w:t>
      </w:r>
    </w:p>
    <w:p w14:paraId="3B8AA528" w14:textId="77777777" w:rsidR="005F7108" w:rsidRPr="00C62CB8" w:rsidRDefault="005F7108" w:rsidP="001C3CAC">
      <w:pPr>
        <w:spacing w:after="120"/>
        <w:rPr>
          <w:rFonts w:cstheme="minorHAnsi"/>
        </w:rPr>
      </w:pPr>
      <w:r w:rsidRPr="004231EF">
        <w:rPr>
          <w:rFonts w:cstheme="minorHAnsi"/>
        </w:rPr>
        <w:t xml:space="preserve">Przynależność do grupy osób z krajów trzecich określana jest </w:t>
      </w:r>
      <w:r w:rsidRPr="004231EF">
        <w:rPr>
          <w:rFonts w:cstheme="minorHAnsi"/>
          <w:b/>
          <w:bCs/>
        </w:rPr>
        <w:t>w momencie rozpoczęcia udziału</w:t>
      </w:r>
      <w:r>
        <w:rPr>
          <w:rFonts w:cstheme="minorHAnsi"/>
          <w:b/>
          <w:bCs/>
        </w:rPr>
        <w:t xml:space="preserve"> </w:t>
      </w:r>
      <w:r w:rsidRPr="004231EF">
        <w:rPr>
          <w:rFonts w:cstheme="minorHAnsi"/>
          <w:b/>
          <w:bCs/>
        </w:rPr>
        <w:t>w projekcie</w:t>
      </w:r>
      <w:r w:rsidRPr="004231EF">
        <w:rPr>
          <w:rFonts w:cstheme="minorHAnsi"/>
        </w:rPr>
        <w:t>, tj. w chwili rozpoczęcia udziału w pierwszej formie wsparcia w</w:t>
      </w:r>
      <w:r>
        <w:rPr>
          <w:rFonts w:cstheme="minorHAnsi"/>
        </w:rPr>
        <w:t> </w:t>
      </w:r>
      <w:r w:rsidRPr="004231EF">
        <w:rPr>
          <w:rFonts w:cstheme="minorHAnsi"/>
        </w:rPr>
        <w:t>projekcie.</w:t>
      </w:r>
    </w:p>
    <w:p w14:paraId="50EECBD8" w14:textId="77777777" w:rsidR="005F7108" w:rsidRPr="004231EF" w:rsidRDefault="005F7108" w:rsidP="00701D68">
      <w:pPr>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z krajów trzecich, monitorowanie wartości docelowej wskaźnika może odbywać się wyłącznie metodą zbierania danych osobowych dotyczących tego wskaźnika od uczestników, a nie metodą wiarygodnych szacunków.</w:t>
      </w:r>
    </w:p>
    <w:p w14:paraId="740EEEEA" w14:textId="77777777" w:rsidR="005F7108" w:rsidRPr="004231EF" w:rsidRDefault="005F7108" w:rsidP="001C3CAC">
      <w:pPr>
        <w:numPr>
          <w:ilvl w:val="0"/>
          <w:numId w:val="41"/>
        </w:numPr>
        <w:spacing w:line="259" w:lineRule="auto"/>
        <w:ind w:left="284" w:hanging="256"/>
        <w:contextualSpacing/>
        <w:rPr>
          <w:rFonts w:cstheme="minorHAnsi"/>
          <w:b/>
        </w:rPr>
      </w:pPr>
      <w:r w:rsidRPr="004231EF">
        <w:rPr>
          <w:rFonts w:cstheme="minorHAnsi"/>
          <w:b/>
        </w:rPr>
        <w:t>Liczba osób obcego pochodzenia objętych wsparciem w programie (osoby)</w:t>
      </w:r>
    </w:p>
    <w:p w14:paraId="7BF071DA" w14:textId="77777777" w:rsidR="005F7108" w:rsidRPr="004231EF" w:rsidRDefault="005F7108" w:rsidP="001C3CAC">
      <w:pPr>
        <w:spacing w:before="240" w:after="120"/>
        <w:rPr>
          <w:rFonts w:cstheme="minorHAnsi"/>
        </w:rPr>
      </w:pPr>
      <w:r w:rsidRPr="004231EF">
        <w:rPr>
          <w:rFonts w:cstheme="minorHAnsi"/>
        </w:rPr>
        <w:t>Osoby obcego pochodzenia to cudzoziemcy - każda osoba, która nie posiada polskiego obywatelstwa, bez względu na fakt posiadania lub nie obywatelstwa (obywatelstw) innych krajów.</w:t>
      </w:r>
    </w:p>
    <w:p w14:paraId="524CB94C" w14:textId="77777777" w:rsidR="005F7108" w:rsidRPr="004231EF" w:rsidRDefault="005F7108" w:rsidP="001C3CAC">
      <w:pPr>
        <w:spacing w:after="120"/>
        <w:rPr>
          <w:rFonts w:cstheme="minorHAnsi"/>
        </w:rPr>
      </w:pPr>
      <w:r w:rsidRPr="004231EF">
        <w:rPr>
          <w:rFonts w:cstheme="minorHAnsi"/>
        </w:rPr>
        <w:t xml:space="preserve">Wskaźnik nie obejmuje osób należących do mniejszości, których udział w projektach monitorowany jest wskaźnikiem </w:t>
      </w:r>
      <w:r w:rsidRPr="004231EF">
        <w:rPr>
          <w:rFonts w:cstheme="minorHAnsi"/>
          <w:i/>
        </w:rPr>
        <w:t>liczba osób należących do mniejszości, w tym społeczności marginalizowanych takich jak Romowie, objętych wsparciem w programie</w:t>
      </w:r>
      <w:r w:rsidRPr="004231EF">
        <w:rPr>
          <w:rFonts w:cstheme="minorHAnsi"/>
        </w:rPr>
        <w:t>.</w:t>
      </w:r>
    </w:p>
    <w:p w14:paraId="646D713F" w14:textId="77777777" w:rsidR="005F7108" w:rsidRPr="00C62CB8" w:rsidRDefault="005F7108" w:rsidP="001C3CAC">
      <w:pPr>
        <w:spacing w:after="120"/>
        <w:rPr>
          <w:rFonts w:cstheme="minorHAnsi"/>
        </w:rPr>
      </w:pPr>
      <w:r w:rsidRPr="004231EF">
        <w:rPr>
          <w:rFonts w:cstheme="minorHAnsi"/>
        </w:rPr>
        <w:t xml:space="preserve">Przynależność do grupy osób obcego pochodzenia określana jest </w:t>
      </w:r>
      <w:r w:rsidRPr="004231EF">
        <w:rPr>
          <w:rFonts w:cstheme="minorHAnsi"/>
          <w:b/>
          <w:bCs/>
        </w:rPr>
        <w:t>w momencie rozpoczęcia udziału w projekcie</w:t>
      </w:r>
      <w:r w:rsidRPr="004231EF">
        <w:rPr>
          <w:rFonts w:cstheme="minorHAnsi"/>
        </w:rPr>
        <w:t>, tj. w chwili rozpoczęcia udziału w pierwszej formie wsparcia w projekcie.</w:t>
      </w:r>
    </w:p>
    <w:p w14:paraId="559E7984" w14:textId="77777777" w:rsidR="005F7108" w:rsidRPr="004231EF" w:rsidRDefault="005F7108" w:rsidP="00FF3C90">
      <w:pPr>
        <w:rPr>
          <w:rFonts w:cstheme="minorHAnsi"/>
        </w:rPr>
      </w:pPr>
      <w:r w:rsidRPr="00C62CB8">
        <w:rPr>
          <w:rFonts w:eastAsia="Calibri" w:cs="Arial"/>
          <w:b/>
          <w:color w:val="2F5496"/>
        </w:rPr>
        <w:t>UWAGA!</w:t>
      </w:r>
      <w:r w:rsidRPr="004231EF">
        <w:t xml:space="preserve"> </w:t>
      </w:r>
      <w:r w:rsidRPr="004231EF">
        <w:rPr>
          <w:rFonts w:cstheme="minorHAnsi"/>
        </w:rPr>
        <w:t xml:space="preserve"> W przypadku pojawienia się w projekcie osób obcego pochodzenia, monitorowanie wartości docelowej wskaźnika może odbywać się wyłącznie metodą zbierania danych osobowych dotyczących tego wskaźnika od uczestników, a nie metodą wiarygodnych szacunków.</w:t>
      </w:r>
    </w:p>
    <w:p w14:paraId="3BA8B1EB" w14:textId="77777777" w:rsidR="005F7108" w:rsidRPr="004231EF" w:rsidRDefault="005F7108" w:rsidP="001C3CAC">
      <w:pPr>
        <w:numPr>
          <w:ilvl w:val="0"/>
          <w:numId w:val="41"/>
        </w:numPr>
        <w:ind w:left="284" w:hanging="256"/>
        <w:contextualSpacing/>
        <w:rPr>
          <w:rFonts w:cstheme="minorHAnsi"/>
          <w:b/>
        </w:rPr>
      </w:pPr>
      <w:r w:rsidRPr="004231EF">
        <w:rPr>
          <w:rFonts w:cstheme="minorHAnsi"/>
          <w:b/>
        </w:rPr>
        <w:t>Liczba osób należących do mniejszości, w tym społeczności marginalizowanych takich jak Romowie, objętych wsparciem w programie (osoby)</w:t>
      </w:r>
    </w:p>
    <w:p w14:paraId="51BE4C9A" w14:textId="77777777" w:rsidR="005F7108" w:rsidRPr="004231EF" w:rsidRDefault="005F7108" w:rsidP="001C3CAC">
      <w:pPr>
        <w:spacing w:before="240" w:after="120"/>
        <w:rPr>
          <w:rFonts w:cstheme="minorHAnsi"/>
        </w:rPr>
      </w:pPr>
      <w:r w:rsidRPr="004231EF">
        <w:rPr>
          <w:rFonts w:cstheme="minorHAnsi"/>
        </w:rPr>
        <w:t>Wskaźnik obejmuje osoby należące do mniejszości narodowych i etnicznych biorące udział</w:t>
      </w:r>
      <w:r w:rsidRPr="004231EF">
        <w:rPr>
          <w:rFonts w:cstheme="minorHAnsi"/>
        </w:rPr>
        <w:br/>
        <w:t>w projektach EFS+.</w:t>
      </w:r>
    </w:p>
    <w:p w14:paraId="0C8D8DAF" w14:textId="77777777" w:rsidR="005F7108" w:rsidRPr="004231EF" w:rsidRDefault="005F7108" w:rsidP="001C3CAC">
      <w:pPr>
        <w:spacing w:before="120" w:after="120"/>
        <w:rPr>
          <w:rFonts w:cstheme="minorHAnsi"/>
        </w:rPr>
      </w:pPr>
      <w:r w:rsidRPr="004231EF">
        <w:rPr>
          <w:rFonts w:cstheme="minorHAnsi"/>
        </w:rPr>
        <w:lastRenderedPageBreak/>
        <w:t>Zgodnie z prawem krajowym mniejszości narodowe to mniejszość: białoruska, czeska, litewska, niemiecka, ormiańska, rosyjska, słowacka, ukraińska, żydowska. Mniejszości etniczne: karaimska, łemkowska, romska, tatarska.</w:t>
      </w:r>
    </w:p>
    <w:p w14:paraId="2D812EF8" w14:textId="77777777" w:rsidR="005F7108" w:rsidRPr="004231EF" w:rsidRDefault="005F7108" w:rsidP="001C3CAC">
      <w:pPr>
        <w:spacing w:before="120" w:after="120"/>
        <w:rPr>
          <w:rFonts w:cstheme="minorHAnsi"/>
        </w:rPr>
      </w:pPr>
      <w:r w:rsidRPr="004231EF">
        <w:rPr>
          <w:rFonts w:cstheme="minorHAnsi"/>
        </w:rPr>
        <w:t xml:space="preserve">Przynależność do grupy osób należących do mniejszości określana jest </w:t>
      </w:r>
      <w:r w:rsidRPr="004231EF">
        <w:rPr>
          <w:rFonts w:cstheme="minorHAnsi"/>
          <w:b/>
          <w:bCs/>
        </w:rPr>
        <w:t>w momencie rozpoczęcia udziału w projekcie,</w:t>
      </w:r>
      <w:r w:rsidRPr="004231EF">
        <w:rPr>
          <w:rFonts w:cstheme="minorHAnsi"/>
        </w:rPr>
        <w:t xml:space="preserve"> tj. w chwili rozpoczęcia udziału w pierwszej formie wsparcia</w:t>
      </w:r>
      <w:r>
        <w:rPr>
          <w:rFonts w:cstheme="minorHAnsi"/>
        </w:rPr>
        <w:t xml:space="preserve"> </w:t>
      </w:r>
      <w:r w:rsidRPr="004231EF">
        <w:rPr>
          <w:rFonts w:cstheme="minorHAnsi"/>
        </w:rPr>
        <w:t>w projekcie.</w:t>
      </w:r>
    </w:p>
    <w:p w14:paraId="4FF3A301" w14:textId="77777777" w:rsidR="005F7108" w:rsidRPr="004231EF" w:rsidRDefault="005F7108" w:rsidP="00FF3C90">
      <w:pPr>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należących do mniejszości, monitorowanie wartości docelowej wskaźnika może odbywać się wyłącznie metodą zbierania danych osobowych dotyczących tego wskaźnika od uczestników, a nie metodą wiarygodnych szacunków.</w:t>
      </w:r>
    </w:p>
    <w:p w14:paraId="50C13F12" w14:textId="77777777" w:rsidR="005F7108" w:rsidRPr="004231EF" w:rsidRDefault="005F7108" w:rsidP="001C3CAC">
      <w:pPr>
        <w:numPr>
          <w:ilvl w:val="0"/>
          <w:numId w:val="41"/>
        </w:numPr>
        <w:ind w:left="284" w:hanging="256"/>
        <w:contextualSpacing/>
        <w:rPr>
          <w:rFonts w:cstheme="minorHAnsi"/>
          <w:b/>
        </w:rPr>
      </w:pPr>
      <w:r w:rsidRPr="004231EF">
        <w:rPr>
          <w:rFonts w:cstheme="minorHAnsi"/>
          <w:b/>
        </w:rPr>
        <w:t>Liczba osób w kryzysie bezdomności lub dotkniętych wykluczeniem z dostępu do</w:t>
      </w:r>
      <w:r>
        <w:rPr>
          <w:rFonts w:cstheme="minorHAnsi"/>
          <w:b/>
        </w:rPr>
        <w:t> </w:t>
      </w:r>
      <w:r w:rsidRPr="004231EF">
        <w:rPr>
          <w:rFonts w:cstheme="minorHAnsi"/>
          <w:b/>
        </w:rPr>
        <w:t>mieszkań, objętych wsparciem w programie (osoby)</w:t>
      </w:r>
    </w:p>
    <w:p w14:paraId="209D69FC" w14:textId="77777777" w:rsidR="005F7108" w:rsidRPr="004231EF" w:rsidRDefault="005F7108" w:rsidP="001C3CAC">
      <w:pPr>
        <w:spacing w:before="240" w:after="120"/>
        <w:rPr>
          <w:rFonts w:cstheme="minorHAnsi"/>
        </w:rPr>
      </w:pPr>
      <w:r w:rsidRPr="004231EF">
        <w:rPr>
          <w:rFonts w:cstheme="minorHAnsi"/>
        </w:rPr>
        <w:t>We wskaźniku wykazywane są osoby w kryzysie bezdomnoś</w:t>
      </w:r>
      <w:r>
        <w:rPr>
          <w:rFonts w:cstheme="minorHAnsi"/>
        </w:rPr>
        <w:t>ci lub dotknięte wykluczeniem z </w:t>
      </w:r>
      <w:r w:rsidRPr="004231EF">
        <w:rPr>
          <w:rFonts w:cstheme="minorHAnsi"/>
        </w:rPr>
        <w:t>dostępu do mieszkań.</w:t>
      </w:r>
    </w:p>
    <w:p w14:paraId="51F7B739" w14:textId="77777777" w:rsidR="005F7108" w:rsidRPr="004231EF" w:rsidRDefault="005F7108" w:rsidP="001C3CAC">
      <w:pPr>
        <w:spacing w:after="120"/>
        <w:rPr>
          <w:rFonts w:cstheme="minorHAnsi"/>
        </w:rPr>
      </w:pPr>
      <w:r w:rsidRPr="004231EF">
        <w:rPr>
          <w:rFonts w:cstheme="minorHAnsi"/>
        </w:rPr>
        <w:t>Bezdomność i wykluczenie mieszkaniowe definiowane są zgodnie z Europejską typologią bezdomności i wykluczenia mieszkaniowego ETHOS, w której wskazuje się okoliczności życia w bezdomności lub ekstremalne formy wykluczenia mieszkaniowego oraz ustawą z</w:t>
      </w:r>
      <w:r>
        <w:rPr>
          <w:rFonts w:cstheme="minorHAnsi"/>
        </w:rPr>
        <w:t> </w:t>
      </w:r>
      <w:r w:rsidRPr="004231EF">
        <w:rPr>
          <w:rFonts w:cstheme="minorHAnsi"/>
        </w:rPr>
        <w:t xml:space="preserve">dnia 12 marca 2004 r. o pomocy społecznej: </w:t>
      </w:r>
    </w:p>
    <w:p w14:paraId="273CD4E8" w14:textId="77777777" w:rsidR="005F7108" w:rsidRPr="004231EF" w:rsidRDefault="005F7108" w:rsidP="001C3CAC">
      <w:pPr>
        <w:numPr>
          <w:ilvl w:val="0"/>
          <w:numId w:val="40"/>
        </w:numPr>
        <w:spacing w:after="120"/>
        <w:rPr>
          <w:rFonts w:cstheme="minorHAnsi"/>
        </w:rPr>
      </w:pPr>
      <w:r w:rsidRPr="004231EF">
        <w:rPr>
          <w:rFonts w:cstheme="minorHAnsi"/>
        </w:rPr>
        <w:t>Bez dachu nad głową, w tym osoby żyjące w przestrzeni publicznej lub zakwaterowane interwencyjnie;</w:t>
      </w:r>
    </w:p>
    <w:p w14:paraId="63C0A1E5" w14:textId="77777777" w:rsidR="005F7108" w:rsidRPr="004231EF" w:rsidRDefault="005F7108" w:rsidP="001C3CAC">
      <w:pPr>
        <w:numPr>
          <w:ilvl w:val="0"/>
          <w:numId w:val="40"/>
        </w:numPr>
        <w:spacing w:after="120"/>
        <w:rPr>
          <w:rFonts w:cstheme="minorHAnsi"/>
        </w:rPr>
      </w:pPr>
      <w:r w:rsidRPr="004231EF">
        <w:rPr>
          <w:rFonts w:cstheme="minorHAnsi"/>
        </w:rPr>
        <w:t>Bez mieszkania, w tym osoby zakwaterowane w placówkach dla bezdomnych, w</w:t>
      </w:r>
      <w:r>
        <w:rPr>
          <w:rFonts w:cstheme="minorHAnsi"/>
        </w:rPr>
        <w:t> </w:t>
      </w:r>
      <w:r w:rsidRPr="004231EF">
        <w:rPr>
          <w:rFonts w:cstheme="minorHAnsi"/>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700FB152" w14:textId="77777777" w:rsidR="005F7108" w:rsidRPr="004231EF" w:rsidRDefault="005F7108" w:rsidP="001C3CAC">
      <w:pPr>
        <w:numPr>
          <w:ilvl w:val="0"/>
          <w:numId w:val="40"/>
        </w:numPr>
        <w:spacing w:after="120"/>
        <w:rPr>
          <w:rFonts w:cstheme="minorHAnsi"/>
        </w:rPr>
      </w:pPr>
      <w:r w:rsidRPr="004231EF">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25127C8B" w14:textId="77777777" w:rsidR="005F7108" w:rsidRPr="004231EF" w:rsidRDefault="005F7108" w:rsidP="001C3CAC">
      <w:pPr>
        <w:numPr>
          <w:ilvl w:val="0"/>
          <w:numId w:val="40"/>
        </w:numPr>
        <w:spacing w:after="120"/>
        <w:rPr>
          <w:rFonts w:cstheme="minorHAnsi"/>
        </w:rPr>
      </w:pPr>
      <w:r w:rsidRPr="004231EF">
        <w:rPr>
          <w:rFonts w:cstheme="minorHAnsi"/>
        </w:rPr>
        <w:t xml:space="preserve">Nieodpowiednie warunki mieszkaniowe, w tym osoby zamieszkujące konstrukcje tymczasowe/nietrwałe, mieszkania </w:t>
      </w:r>
      <w:proofErr w:type="spellStart"/>
      <w:r w:rsidRPr="004231EF">
        <w:rPr>
          <w:rFonts w:cstheme="minorHAnsi"/>
        </w:rPr>
        <w:t>substandardowe</w:t>
      </w:r>
      <w:proofErr w:type="spellEnd"/>
      <w:r w:rsidRPr="004231EF">
        <w:rPr>
          <w:rFonts w:cstheme="minorHAnsi"/>
        </w:rPr>
        <w:t xml:space="preserve"> - lokale nienadające się do</w:t>
      </w:r>
      <w:r>
        <w:rPr>
          <w:rFonts w:cstheme="minorHAnsi"/>
        </w:rPr>
        <w:t> </w:t>
      </w:r>
      <w:r w:rsidRPr="004231EF">
        <w:rPr>
          <w:rFonts w:cstheme="minorHAnsi"/>
        </w:rPr>
        <w:t>zamieszkania wg standardu krajowego, w warunkach skrajnego przeludnienia;</w:t>
      </w:r>
    </w:p>
    <w:p w14:paraId="5140ADBF" w14:textId="77777777" w:rsidR="005F7108" w:rsidRPr="004231EF" w:rsidRDefault="005F7108" w:rsidP="001C3CAC">
      <w:pPr>
        <w:numPr>
          <w:ilvl w:val="0"/>
          <w:numId w:val="40"/>
        </w:numPr>
        <w:spacing w:after="120"/>
        <w:ind w:left="714" w:hanging="357"/>
        <w:rPr>
          <w:rFonts w:cstheme="minorHAnsi"/>
        </w:rPr>
      </w:pPr>
      <w:r w:rsidRPr="004231EF">
        <w:rPr>
          <w:rFonts w:cstheme="minorHAnsi"/>
        </w:rPr>
        <w:lastRenderedPageBreak/>
        <w:t>Osoby niezamieszkujące w lokalu mieszkalnym w rozumieniu przepisów o ochronie praw lokatorów i mieszkaniowym zasobie gminy i niezameldowane na pobyt stały, w</w:t>
      </w:r>
      <w:r>
        <w:rPr>
          <w:rFonts w:cstheme="minorHAnsi"/>
        </w:rPr>
        <w:t> </w:t>
      </w:r>
      <w:r w:rsidRPr="004231EF">
        <w:rPr>
          <w:rFonts w:cstheme="minorHAnsi"/>
        </w:rPr>
        <w:t>rozumieniu przepisów o ewidencji ludności, a także osoby niezamieszkujące w</w:t>
      </w:r>
      <w:r>
        <w:rPr>
          <w:rFonts w:cstheme="minorHAnsi"/>
        </w:rPr>
        <w:t> </w:t>
      </w:r>
      <w:r w:rsidRPr="004231EF">
        <w:rPr>
          <w:rFonts w:cstheme="minorHAnsi"/>
        </w:rPr>
        <w:t>lokalu mieszkalnym i zameldowaną na pobyt stały w lokalu, w którym nie ma możliwości zamieszkania.</w:t>
      </w:r>
    </w:p>
    <w:p w14:paraId="39565CA4" w14:textId="77777777" w:rsidR="005F7108" w:rsidRPr="004231EF" w:rsidRDefault="005F7108" w:rsidP="001C3CAC">
      <w:pPr>
        <w:spacing w:after="120"/>
        <w:rPr>
          <w:rFonts w:cstheme="minorHAnsi"/>
        </w:rPr>
      </w:pPr>
      <w:r w:rsidRPr="004231EF">
        <w:rPr>
          <w:rFonts w:cstheme="minorHAnsi"/>
        </w:rPr>
        <w:t>Osoby dorosłe mieszkające z rodzicami nie powinny być wykazywane we wskaźniku, chyba że wszystkie te osoby są w kryzysie bezdomności lub mieszkają w nieodpowiednich i</w:t>
      </w:r>
      <w:r>
        <w:rPr>
          <w:rFonts w:cstheme="minorHAnsi"/>
        </w:rPr>
        <w:t> </w:t>
      </w:r>
      <w:r w:rsidRPr="004231EF">
        <w:rPr>
          <w:rFonts w:cstheme="minorHAnsi"/>
        </w:rPr>
        <w:t>niebezpiecznych warunkach.</w:t>
      </w:r>
    </w:p>
    <w:p w14:paraId="412CDAC4" w14:textId="77777777" w:rsidR="005F7108" w:rsidRPr="004231EF" w:rsidRDefault="005F7108" w:rsidP="001C3CAC">
      <w:pPr>
        <w:spacing w:after="120"/>
        <w:rPr>
          <w:rFonts w:cstheme="minorHAnsi"/>
        </w:rPr>
      </w:pPr>
      <w:r w:rsidRPr="004231EF">
        <w:rPr>
          <w:rFonts w:cstheme="minorHAnsi"/>
        </w:rPr>
        <w:t>Przynależność do grupy osób w kryzysie bezdomności lub dotkniętych wykluczeniem z</w:t>
      </w:r>
      <w:r>
        <w:rPr>
          <w:rFonts w:cstheme="minorHAnsi"/>
        </w:rPr>
        <w:t> </w:t>
      </w:r>
      <w:r w:rsidRPr="004231EF">
        <w:rPr>
          <w:rFonts w:cstheme="minorHAnsi"/>
        </w:rPr>
        <w:t xml:space="preserve">dostępu do mieszkań określana jest </w:t>
      </w:r>
      <w:r w:rsidRPr="004231EF">
        <w:rPr>
          <w:rFonts w:cstheme="minorHAnsi"/>
          <w:b/>
          <w:bCs/>
        </w:rPr>
        <w:t>w momencie rozpoczęcia udziału w projekcie</w:t>
      </w:r>
      <w:r w:rsidRPr="004231EF">
        <w:rPr>
          <w:rFonts w:cstheme="minorHAnsi"/>
        </w:rPr>
        <w:t>, tj.</w:t>
      </w:r>
      <w:r>
        <w:rPr>
          <w:rFonts w:cstheme="minorHAnsi"/>
        </w:rPr>
        <w:t> </w:t>
      </w:r>
      <w:r w:rsidRPr="004231EF">
        <w:rPr>
          <w:rFonts w:cstheme="minorHAnsi"/>
        </w:rPr>
        <w:t>w</w:t>
      </w:r>
      <w:r>
        <w:rPr>
          <w:rFonts w:cstheme="minorHAnsi"/>
        </w:rPr>
        <w:t> </w:t>
      </w:r>
      <w:r w:rsidRPr="004231EF">
        <w:rPr>
          <w:rFonts w:cstheme="minorHAnsi"/>
        </w:rPr>
        <w:t>chwili rozpoczęcia udziału w pierwszej formie wsparcia w projekcie.</w:t>
      </w:r>
    </w:p>
    <w:p w14:paraId="70D16D36" w14:textId="77777777" w:rsidR="005F7108" w:rsidRPr="008831C4" w:rsidRDefault="005F7108" w:rsidP="00FF3C90">
      <w:pPr>
        <w:rPr>
          <w:rFonts w:cstheme="minorHAnsi"/>
        </w:rPr>
      </w:pPr>
      <w:r w:rsidRPr="00C62CB8">
        <w:rPr>
          <w:rFonts w:eastAsia="Calibri" w:cs="Arial"/>
          <w:b/>
          <w:color w:val="2F5496"/>
        </w:rPr>
        <w:t>UWAGA!</w:t>
      </w:r>
      <w:r w:rsidRPr="004231EF">
        <w:t xml:space="preserve"> </w:t>
      </w:r>
      <w:r w:rsidRPr="004231EF">
        <w:rPr>
          <w:rFonts w:cstheme="minorHAnsi"/>
        </w:rPr>
        <w:t>W przypadku pojawienia się w projekcie osób w kryzysie bezdomności lub dotkniętych wykluczeniem z dostępu do mieszkań, monitorowanie wartości docelowej wskaźnika może odbywać się wyłącznie metodą zbierania danych osobowych dotyczących tego wskaźnika od uczestników, a nie metodą wiarygodnych szacunków.</w:t>
      </w:r>
    </w:p>
    <w:p w14:paraId="2D57B2EB" w14:textId="77777777" w:rsidR="005F7108" w:rsidRPr="004231EF" w:rsidRDefault="005F7108" w:rsidP="001C3CAC">
      <w:pPr>
        <w:numPr>
          <w:ilvl w:val="0"/>
          <w:numId w:val="41"/>
        </w:numPr>
        <w:ind w:left="284" w:hanging="256"/>
        <w:contextualSpacing/>
        <w:rPr>
          <w:rFonts w:cstheme="minorHAnsi"/>
          <w:b/>
        </w:rPr>
      </w:pPr>
      <w:r w:rsidRPr="004231EF">
        <w:rPr>
          <w:rFonts w:cstheme="minorHAnsi"/>
          <w:b/>
        </w:rPr>
        <w:t>Liczba projektów, w których sfinansowano koszty racjonalnych usprawnień dla</w:t>
      </w:r>
      <w:r>
        <w:rPr>
          <w:rFonts w:cstheme="minorHAnsi"/>
          <w:b/>
        </w:rPr>
        <w:t> </w:t>
      </w:r>
      <w:r w:rsidRPr="004231EF">
        <w:rPr>
          <w:rFonts w:cstheme="minorHAnsi"/>
          <w:b/>
        </w:rPr>
        <w:t>osób</w:t>
      </w:r>
      <w:r>
        <w:rPr>
          <w:rFonts w:cstheme="minorHAnsi"/>
          <w:b/>
        </w:rPr>
        <w:t xml:space="preserve"> </w:t>
      </w:r>
      <w:r w:rsidRPr="004231EF">
        <w:rPr>
          <w:rFonts w:cstheme="minorHAnsi"/>
          <w:b/>
        </w:rPr>
        <w:t>z niepełnosprawnościami (sztuki)</w:t>
      </w:r>
    </w:p>
    <w:p w14:paraId="1877B66B" w14:textId="77777777" w:rsidR="005F7108" w:rsidRPr="004231EF" w:rsidRDefault="005F7108" w:rsidP="001C3CAC">
      <w:pPr>
        <w:spacing w:before="240"/>
        <w:rPr>
          <w:rFonts w:cstheme="minorHAnsi"/>
        </w:rPr>
      </w:pPr>
      <w:r w:rsidRPr="004231EF">
        <w:rPr>
          <w:rFonts w:cstheme="minorHAnsi"/>
        </w:rPr>
        <w:t>Racjonalne usprawnienie oznacza konieczne i odpowiednie zmiany oraz dostosowania, nie</w:t>
      </w:r>
      <w:r>
        <w:rPr>
          <w:rFonts w:cstheme="minorHAnsi"/>
        </w:rPr>
        <w:t> </w:t>
      </w:r>
      <w:r w:rsidRPr="004231EF">
        <w:rPr>
          <w:rFonts w:cstheme="minorHAnsi"/>
        </w:rPr>
        <w:t>nakładające nieproporcjonalnego lub nadmiernego obciążenia, rozpatrywane osobno dla</w:t>
      </w:r>
      <w:r>
        <w:rPr>
          <w:rFonts w:cstheme="minorHAnsi"/>
        </w:rPr>
        <w:t> </w:t>
      </w:r>
      <w:r w:rsidRPr="004231EF">
        <w:rPr>
          <w:rFonts w:cstheme="minorHAnsi"/>
        </w:rPr>
        <w:t xml:space="preserve">każdego konkretnego przypadku, w celu zapewnienia osobom z niepełnosprawnościami możliwości korzystania z wszelkich praw człowieka i podstawowych wolności oraz ich wykonywania na zasadzie </w:t>
      </w:r>
      <w:proofErr w:type="spellStart"/>
      <w:r w:rsidRPr="004231EF">
        <w:rPr>
          <w:rFonts w:cstheme="minorHAnsi"/>
        </w:rPr>
        <w:t>równościz</w:t>
      </w:r>
      <w:proofErr w:type="spellEnd"/>
      <w:r w:rsidRPr="004231EF">
        <w:rPr>
          <w:rFonts w:cstheme="minorHAnsi"/>
        </w:rPr>
        <w:t xml:space="preserve"> innymi osobami.</w:t>
      </w:r>
    </w:p>
    <w:p w14:paraId="439DE091" w14:textId="77777777" w:rsidR="005F7108" w:rsidRPr="004231EF" w:rsidRDefault="005F7108" w:rsidP="001C3CAC">
      <w:pPr>
        <w:rPr>
          <w:rFonts w:cstheme="minorHAnsi"/>
        </w:rPr>
      </w:pPr>
      <w:r w:rsidRPr="004231EF">
        <w:rPr>
          <w:rFonts w:cstheme="minorHAnsi"/>
        </w:rPr>
        <w:t>Oznacza także możliwość sfinansowania specyficznych działań dostosowawczych, uruchamianych wraz z pojawieniem się w projekcie (w charakterze uczestnika lub personelu) osoby z niepełnosprawnością.</w:t>
      </w:r>
    </w:p>
    <w:p w14:paraId="1ABCEF46" w14:textId="77777777" w:rsidR="005F7108" w:rsidRPr="004231EF" w:rsidRDefault="005F7108" w:rsidP="001C3CAC">
      <w:pPr>
        <w:rPr>
          <w:rFonts w:cstheme="minorHAnsi"/>
        </w:rPr>
      </w:pPr>
      <w:r w:rsidRPr="004231EF">
        <w:rPr>
          <w:rFonts w:cstheme="minorHAnsi"/>
        </w:rPr>
        <w:t>Wskaźnik mierzony w momencie rozliczenia wydatku związanego z racjonalnymi usprawnieniami w ramach danego projektu.</w:t>
      </w:r>
    </w:p>
    <w:p w14:paraId="5D3406AD" w14:textId="77777777" w:rsidR="005F7108" w:rsidRPr="004231EF" w:rsidRDefault="005F7108" w:rsidP="001C3CAC">
      <w:pPr>
        <w:rPr>
          <w:rFonts w:cstheme="minorHAnsi"/>
        </w:rPr>
      </w:pPr>
      <w:r w:rsidRPr="004231EF">
        <w:rPr>
          <w:rFonts w:cstheme="minorHAnsi"/>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2FF1082B" w14:textId="77777777" w:rsidR="005F7108" w:rsidRPr="004C0DA2" w:rsidRDefault="005F7108" w:rsidP="001C3CAC">
      <w:pPr>
        <w:rPr>
          <w:rFonts w:cstheme="minorHAnsi"/>
        </w:rPr>
      </w:pPr>
      <w:r w:rsidRPr="004C0DA2">
        <w:rPr>
          <w:rFonts w:cstheme="minorHAnsi"/>
        </w:rPr>
        <w:t xml:space="preserve">Do wskaźnika powinny zostać wliczone zarówno projekty ogólnodostępne, w których sfinansowano koszty racjonalnych usprawnień, jak i dedykowane </w:t>
      </w:r>
      <w:r w:rsidRPr="004C0DA2">
        <w:rPr>
          <w:rFonts w:cs="Arial"/>
        </w:rPr>
        <w:t xml:space="preserve">(zgodnie z kategoryzacją </w:t>
      </w:r>
      <w:r w:rsidRPr="004C0DA2">
        <w:rPr>
          <w:rFonts w:cs="Arial"/>
        </w:rPr>
        <w:lastRenderedPageBreak/>
        <w:t>projektów z Wytycznych w zakresie realizacji zasad równościowych w ramach funduszy unijnych na lata 2021-2027).</w:t>
      </w:r>
    </w:p>
    <w:p w14:paraId="4CD333FC" w14:textId="77777777" w:rsidR="005F7108" w:rsidRPr="004231EF" w:rsidRDefault="005F7108" w:rsidP="00FF3C90">
      <w:pPr>
        <w:rPr>
          <w:rFonts w:cstheme="minorHAnsi"/>
        </w:rPr>
      </w:pPr>
      <w:r w:rsidRPr="004C0DA2">
        <w:rPr>
          <w:rFonts w:cstheme="minorHAnsi"/>
        </w:rPr>
        <w:t>Na poziomie projektu wskaźnik może przyjmować maksymalną wartość 1 - co oznacza jeden projekt, w którym sfinansowano koszty racjonalnych usprawnień dla osób z</w:t>
      </w:r>
      <w:r>
        <w:rPr>
          <w:rFonts w:cstheme="minorHAnsi"/>
        </w:rPr>
        <w:t> </w:t>
      </w:r>
      <w:r w:rsidRPr="004C0DA2">
        <w:rPr>
          <w:rFonts w:cstheme="minorHAnsi"/>
        </w:rPr>
        <w:t>niepełnosprawnościami. Liczba sfinansowanych racjonalnych usprawnień, w ramach projektu, nie ma znaczenia dla wartości wykazywanej we wskaźniku.</w:t>
      </w:r>
      <w:r w:rsidRPr="004C0DA2">
        <w:rPr>
          <w:rFonts w:cs="Arial"/>
        </w:rPr>
        <w:t xml:space="preserve"> Definicja na podstawie:</w:t>
      </w:r>
      <w:r w:rsidRPr="004C0DA2">
        <w:t xml:space="preserve"> </w:t>
      </w:r>
      <w:r w:rsidRPr="004C0DA2">
        <w:rPr>
          <w:rFonts w:cs="Arial"/>
        </w:rPr>
        <w:t>Wytyczne w zakresie realizacji zasad równościowych w ramach funduszy unijnych na lata 2021-2027.</w:t>
      </w:r>
    </w:p>
    <w:p w14:paraId="5D7E26A2" w14:textId="77777777" w:rsidR="005F7108" w:rsidRPr="004231EF" w:rsidRDefault="005F7108" w:rsidP="001C3CAC">
      <w:pPr>
        <w:numPr>
          <w:ilvl w:val="0"/>
          <w:numId w:val="41"/>
        </w:numPr>
        <w:spacing w:line="259" w:lineRule="auto"/>
        <w:ind w:left="284" w:hanging="256"/>
        <w:contextualSpacing/>
        <w:rPr>
          <w:rFonts w:cstheme="minorHAnsi"/>
          <w:b/>
        </w:rPr>
      </w:pPr>
      <w:r w:rsidRPr="004231EF">
        <w:rPr>
          <w:rFonts w:cstheme="minorHAnsi"/>
          <w:b/>
        </w:rPr>
        <w:t>Liczba obiektów dostosowanych do potrzeb osób z niepełnosprawnościami (sztuki)</w:t>
      </w:r>
    </w:p>
    <w:p w14:paraId="4B9CF7C2" w14:textId="77777777" w:rsidR="005F7108" w:rsidRPr="004231EF" w:rsidRDefault="005F7108" w:rsidP="001C3CAC">
      <w:pPr>
        <w:spacing w:before="240"/>
        <w:rPr>
          <w:rFonts w:cstheme="minorHAnsi"/>
        </w:rPr>
      </w:pPr>
      <w:r w:rsidRPr="004231EF">
        <w:rPr>
          <w:rFonts w:cstheme="minorHAnsi"/>
        </w:rPr>
        <w:t>Wskaźnik odnosi się do liczby obiektów w ramach realizowanego projektu, które zaopatrzono w specjalne podjazdy, windy, urządzenia głośnomówiące, bądź inne udogodnienia (tj.</w:t>
      </w:r>
      <w:r>
        <w:rPr>
          <w:rFonts w:cstheme="minorHAnsi"/>
        </w:rPr>
        <w:t> </w:t>
      </w:r>
      <w:r w:rsidRPr="004231EF">
        <w:rPr>
          <w:rFonts w:cstheme="minorHAnsi"/>
        </w:rPr>
        <w:t xml:space="preserve">usunięcie barier w dostępie, w szczególności barier architektonicznych) ułatwiające dostęp do tych </w:t>
      </w:r>
      <w:proofErr w:type="spellStart"/>
      <w:r w:rsidRPr="004231EF">
        <w:rPr>
          <w:rFonts w:cstheme="minorHAnsi"/>
        </w:rPr>
        <w:t>obiektówi</w:t>
      </w:r>
      <w:proofErr w:type="spellEnd"/>
      <w:r w:rsidRPr="004231EF">
        <w:rPr>
          <w:rFonts w:cstheme="minorHAnsi"/>
        </w:rPr>
        <w:t xml:space="preserve"> poruszanie się po nich osobom z niepełnosprawnościami, w</w:t>
      </w:r>
      <w:r>
        <w:rPr>
          <w:rFonts w:cstheme="minorHAnsi"/>
        </w:rPr>
        <w:t> </w:t>
      </w:r>
      <w:r w:rsidRPr="004231EF">
        <w:rPr>
          <w:rFonts w:cstheme="minorHAnsi"/>
        </w:rPr>
        <w:t>szczególności ruchowymi czy sensorycznymi.</w:t>
      </w:r>
    </w:p>
    <w:p w14:paraId="5FD99E53" w14:textId="77777777" w:rsidR="005F7108" w:rsidRPr="004231EF" w:rsidRDefault="005F7108" w:rsidP="001C3CAC">
      <w:pPr>
        <w:rPr>
          <w:rFonts w:cstheme="minorHAnsi"/>
        </w:rPr>
      </w:pPr>
      <w:r w:rsidRPr="004231EF">
        <w:rPr>
          <w:rFonts w:cstheme="minorHAnsi"/>
        </w:rPr>
        <w:t>Jako obiekty należy rozumieć konstrukcje połączone z grun</w:t>
      </w:r>
      <w:r>
        <w:rPr>
          <w:rFonts w:cstheme="minorHAnsi"/>
        </w:rPr>
        <w:t>tem w sposób trwały, wykonane z </w:t>
      </w:r>
      <w:r w:rsidRPr="004231EF">
        <w:rPr>
          <w:rFonts w:cstheme="minorHAnsi"/>
        </w:rPr>
        <w:t>materiałów budowlanych i elementów składowych, będące wynikiem prac budowlanych (wg. def. PKOB).</w:t>
      </w:r>
    </w:p>
    <w:p w14:paraId="3A9BAF9E" w14:textId="77777777" w:rsidR="005F7108" w:rsidRPr="004231EF" w:rsidRDefault="005F7108" w:rsidP="001C3CAC">
      <w:pPr>
        <w:rPr>
          <w:rFonts w:cstheme="minorHAnsi"/>
        </w:rPr>
      </w:pPr>
      <w:r w:rsidRPr="004231EF">
        <w:rPr>
          <w:rFonts w:cstheme="minorHAnsi"/>
        </w:rPr>
        <w:t>Należy podać liczbę obiektów, a nie sprzętów, urządzeń itp., w które obiekty zaopatrzono. Jeśli instytucja, zakład itp. składa się z kilku obiektów, należy zliczyć wszystkie, które dostosowano do potrzeb osób z niepełnosprawnościami.</w:t>
      </w:r>
    </w:p>
    <w:p w14:paraId="01AD1599" w14:textId="77777777" w:rsidR="005F7108" w:rsidRPr="004231EF" w:rsidRDefault="005F7108" w:rsidP="001C3CAC">
      <w:pPr>
        <w:rPr>
          <w:rFonts w:cstheme="minorHAnsi"/>
        </w:rPr>
      </w:pPr>
      <w:r w:rsidRPr="004231EF">
        <w:rPr>
          <w:rFonts w:cstheme="minorHAnsi"/>
        </w:rPr>
        <w:t>Wskaźnik mierzony w momencie rozliczenia wydatku związanego z wyposażeniem obiektów</w:t>
      </w:r>
      <w:r>
        <w:rPr>
          <w:rFonts w:cstheme="minorHAnsi"/>
        </w:rPr>
        <w:t xml:space="preserve"> </w:t>
      </w:r>
      <w:r w:rsidRPr="004231EF">
        <w:rPr>
          <w:rFonts w:cstheme="minorHAnsi"/>
        </w:rPr>
        <w:t>w rozwiązania służące osobom z niepełnosprawnościami w ramach danego projektu.</w:t>
      </w:r>
    </w:p>
    <w:p w14:paraId="68222FD9" w14:textId="77777777" w:rsidR="005F7108" w:rsidRPr="004231EF" w:rsidRDefault="005F7108" w:rsidP="00FF3C90">
      <w:pPr>
        <w:rPr>
          <w:rFonts w:cstheme="minorHAnsi"/>
        </w:rPr>
      </w:pPr>
      <w:r w:rsidRPr="004231EF">
        <w:rPr>
          <w:rFonts w:cstheme="minorHAnsi"/>
        </w:rPr>
        <w:t>Do wskaźnika powinny zostać wliczone zarówno obiekty dostosowane w projektach ogólnodostępnych, jak i dedykowanych.</w:t>
      </w:r>
    </w:p>
    <w:p w14:paraId="02928A8E" w14:textId="77777777" w:rsidR="005F7108" w:rsidRPr="004231EF" w:rsidRDefault="005F7108" w:rsidP="001C3CAC">
      <w:pPr>
        <w:numPr>
          <w:ilvl w:val="0"/>
          <w:numId w:val="41"/>
        </w:numPr>
        <w:ind w:left="284" w:hanging="256"/>
        <w:contextualSpacing/>
        <w:rPr>
          <w:rFonts w:cstheme="minorHAnsi"/>
          <w:b/>
        </w:rPr>
      </w:pPr>
      <w:r w:rsidRPr="004231EF">
        <w:rPr>
          <w:rFonts w:cstheme="minorHAnsi"/>
          <w:b/>
        </w:rPr>
        <w:t>Liczba objętych wsparciem podmiotów administracji publicznej lub służb publicznych na szczeblu krajowym, regionalnym lub lokalnym (podmioty)</w:t>
      </w:r>
    </w:p>
    <w:p w14:paraId="4ADA1139" w14:textId="77777777" w:rsidR="005F7108" w:rsidRPr="004231EF" w:rsidRDefault="005F7108" w:rsidP="001C3CAC">
      <w:pPr>
        <w:spacing w:before="240"/>
        <w:rPr>
          <w:rFonts w:cstheme="minorHAnsi"/>
        </w:rPr>
      </w:pPr>
      <w:r w:rsidRPr="004231EF">
        <w:rPr>
          <w:rFonts w:cstheme="minorHAnsi"/>
        </w:rPr>
        <w:t>Za służby publiczne uznaje się publiczne lub prywatne podmioty, które świadczą usługi publiczne (w przypadku usług publicznych zlecanych przez państwo podmiotom prywatnym lub świadczonych w ramach partnerstwa publiczno-prywatnego).</w:t>
      </w:r>
    </w:p>
    <w:p w14:paraId="2AD394EC" w14:textId="77777777" w:rsidR="005F7108" w:rsidRPr="004231EF" w:rsidRDefault="005F7108" w:rsidP="001C3CAC">
      <w:pPr>
        <w:rPr>
          <w:rFonts w:cstheme="minorHAnsi"/>
        </w:rPr>
      </w:pPr>
      <w:r w:rsidRPr="004231EF">
        <w:rPr>
          <w:rFonts w:cstheme="minorHAnsi"/>
        </w:rPr>
        <w:t>Przez administrację publiczną rozumie się: administrację wykonawczą i prawodawczą na</w:t>
      </w:r>
      <w:r>
        <w:rPr>
          <w:rFonts w:cstheme="minorHAnsi"/>
        </w:rPr>
        <w:t> </w:t>
      </w:r>
      <w:r w:rsidRPr="004231EF">
        <w:rPr>
          <w:rFonts w:cstheme="minorHAnsi"/>
        </w:rPr>
        <w:t xml:space="preserve">poziomie centralnym, regionalnym i lokalnym; administrację i nadzór nad sprawami podatkowymi (obsługa podatków; pobór cła / podatku od towarów i dochodzenie w sprawie naruszenia prawa podatkowego; służba celna); administrację zajmującą się wdrażaniem </w:t>
      </w:r>
      <w:r w:rsidRPr="004231EF">
        <w:rPr>
          <w:rFonts w:cstheme="minorHAnsi"/>
        </w:rPr>
        <w:lastRenderedPageBreak/>
        <w:t>budżetu i zarządzaniem środkami budżetu państwa i długiem publicznym (pobieranie i</w:t>
      </w:r>
      <w:r>
        <w:rPr>
          <w:rFonts w:cstheme="minorHAnsi"/>
        </w:rPr>
        <w:t> </w:t>
      </w:r>
      <w:r w:rsidRPr="004231EF">
        <w:rPr>
          <w:rFonts w:cstheme="minorHAnsi"/>
        </w:rPr>
        <w:t>otrzymywanie pieniędzy oraz kontrola ich wydatkowania); administrację zajmującą się sprawami obywatelskimi, polityką w zakresie badań</w:t>
      </w:r>
      <w:r>
        <w:rPr>
          <w:rFonts w:cstheme="minorHAnsi"/>
        </w:rPr>
        <w:t xml:space="preserve"> </w:t>
      </w:r>
      <w:r w:rsidRPr="004231EF">
        <w:rPr>
          <w:rFonts w:cstheme="minorHAnsi"/>
        </w:rPr>
        <w:t>i rozwoju oraz powiązanymi fundusza</w:t>
      </w:r>
      <w:r>
        <w:rPr>
          <w:rFonts w:cstheme="minorHAnsi"/>
        </w:rPr>
        <w:t xml:space="preserve">mi; administrację i realizację </w:t>
      </w:r>
      <w:r w:rsidRPr="004231EF">
        <w:rPr>
          <w:rFonts w:cstheme="minorHAnsi"/>
        </w:rPr>
        <w:t>ogólnego planowania gospodarczego i społecznego oraz usług statystycznych na różnych szczeblach rządzenia.</w:t>
      </w:r>
    </w:p>
    <w:p w14:paraId="1204EAB8" w14:textId="77777777" w:rsidR="005F7108" w:rsidRPr="004231EF" w:rsidRDefault="005F7108" w:rsidP="001C3CAC">
      <w:pPr>
        <w:rPr>
          <w:rFonts w:cstheme="minorHAnsi"/>
        </w:rPr>
      </w:pPr>
      <w:r w:rsidRPr="004231EF">
        <w:rPr>
          <w:rFonts w:cstheme="minorHAnsi"/>
        </w:rPr>
        <w:t>Informacje dotyczące podmiotów objętych wsparciem powinny pochodzić z dokumentów administracyjnych np. z umów o dofinansowanie.</w:t>
      </w:r>
    </w:p>
    <w:p w14:paraId="61AD452C" w14:textId="77777777" w:rsidR="005F7108" w:rsidRPr="004231EF" w:rsidRDefault="005F7108" w:rsidP="001C3CAC">
      <w:pPr>
        <w:rPr>
          <w:rFonts w:cstheme="minorHAnsi"/>
        </w:rPr>
      </w:pPr>
      <w:r w:rsidRPr="004231EF">
        <w:rPr>
          <w:rFonts w:cstheme="minorHAnsi"/>
        </w:rPr>
        <w:t xml:space="preserve">Do wskaźnika wliczane są tylko te podmioty, dla których można wyróżnić wydatki. </w:t>
      </w:r>
    </w:p>
    <w:p w14:paraId="4F4388E4" w14:textId="77777777" w:rsidR="002D53AF" w:rsidRPr="00FF3C90" w:rsidRDefault="005F7108" w:rsidP="001C3CAC">
      <w:pPr>
        <w:rPr>
          <w:rFonts w:cstheme="minorHAnsi"/>
        </w:rPr>
      </w:pPr>
      <w:r w:rsidRPr="004231EF">
        <w:rPr>
          <w:rFonts w:cstheme="minorHAnsi"/>
        </w:rPr>
        <w:t>Podmiot jest wliczany do wskaźnika w momencie rozpoczęcia udziału w projekcie.</w:t>
      </w:r>
    </w:p>
    <w:p w14:paraId="6CE77FD9" w14:textId="77777777" w:rsidR="00E15D13" w:rsidRDefault="00E15D13" w:rsidP="00E33E29">
      <w:pPr>
        <w:pStyle w:val="Podrozdzia-K"/>
        <w:spacing w:line="480" w:lineRule="auto"/>
        <w:ind w:left="340"/>
        <w:jc w:val="left"/>
      </w:pPr>
      <w:bookmarkStart w:id="22" w:name="_Toc137810490"/>
      <w:r>
        <w:t>Zasady horyzontalne</w:t>
      </w:r>
      <w:bookmarkEnd w:id="22"/>
    </w:p>
    <w:p w14:paraId="08208CB0" w14:textId="77777777" w:rsidR="0072111B" w:rsidRDefault="009831EA" w:rsidP="002D53AF">
      <w:pPr>
        <w:pStyle w:val="Nagwek-K"/>
        <w:ind w:left="340"/>
      </w:pPr>
      <w:r w:rsidRPr="00737D1D">
        <w:t>Należy pamiętać, że projekt musi być zgodny z:</w:t>
      </w:r>
    </w:p>
    <w:p w14:paraId="63C2024B"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Kartą Praw Podstawowych Unii Europejskiej z dnia 26 października 2012 r. (kryterium ogólne zerojedynkowe nr 1),</w:t>
      </w:r>
    </w:p>
    <w:p w14:paraId="24DEE697"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Konwencją o Prawach Osób Niepełnosprawnych, sporządzoną w Nowym Jorku dnia 13 grudnia 2006 r. (kryterium ogólne zerojedynkowe nr 2),</w:t>
      </w:r>
    </w:p>
    <w:p w14:paraId="1641058D"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Konwencją o Prawach Dziecka przyjętą przez Zgromadzenie Ogólne Narodów Zjednoczonych z dnia 20 listopada 1989 r. (kryterium ogólne zerojedynkowe 3),</w:t>
      </w:r>
    </w:p>
    <w:p w14:paraId="577EABC4"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zasadą równości szans i niedyskryminacji, w tym z dostępnością dla osób z niepełnosprawnościami (kryterium ogólne zerojedynkowe nr 4),</w:t>
      </w:r>
    </w:p>
    <w:p w14:paraId="31906B3A"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zasadą równości kobiet i mężczyzn (kryterium ogólne zerojedynkowe nr 5),</w:t>
      </w:r>
    </w:p>
    <w:p w14:paraId="0C6E4E90" w14:textId="77777777" w:rsidR="0072111B" w:rsidRPr="0072111B" w:rsidRDefault="0072111B" w:rsidP="001C3CAC">
      <w:pPr>
        <w:pStyle w:val="Akapitzlist"/>
        <w:numPr>
          <w:ilvl w:val="0"/>
          <w:numId w:val="22"/>
        </w:numPr>
        <w:spacing w:after="0"/>
        <w:rPr>
          <w:rFonts w:eastAsia="Calibri" w:cs="Arial"/>
          <w:b/>
          <w:bCs/>
          <w:color w:val="000000"/>
        </w:rPr>
      </w:pPr>
      <w:r>
        <w:t>za</w:t>
      </w:r>
      <w:r w:rsidR="0003320F" w:rsidRPr="0003320F">
        <w:t xml:space="preserve">sadą dotyczącą przestrzegania przepisów antydyskryminacyjnych </w:t>
      </w:r>
      <w:r w:rsidR="0003320F" w:rsidRPr="0072111B">
        <w:rPr>
          <w:rFonts w:eastAsia="Calibri" w:cs="Arial"/>
          <w:color w:val="000000"/>
        </w:rPr>
        <w:t>(kryterium ogólne zerojedynkowe nr 6),</w:t>
      </w:r>
    </w:p>
    <w:p w14:paraId="7EC8B084" w14:textId="77777777" w:rsidR="0072111B" w:rsidRPr="0072111B"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zasadą zrównoważonego rozwoju (kryterium ogólne zerojedynkowe nr 7),</w:t>
      </w:r>
    </w:p>
    <w:p w14:paraId="7428BFB8" w14:textId="77777777" w:rsidR="007B0524" w:rsidRPr="007B0524" w:rsidRDefault="0003320F" w:rsidP="001C3CAC">
      <w:pPr>
        <w:pStyle w:val="Akapitzlist"/>
        <w:numPr>
          <w:ilvl w:val="0"/>
          <w:numId w:val="22"/>
        </w:numPr>
        <w:spacing w:after="0"/>
        <w:rPr>
          <w:rFonts w:eastAsia="Calibri" w:cs="Arial"/>
          <w:b/>
          <w:bCs/>
          <w:color w:val="000000"/>
        </w:rPr>
      </w:pPr>
      <w:r w:rsidRPr="0072111B">
        <w:rPr>
          <w:rFonts w:eastAsia="Calibri" w:cs="Arial"/>
          <w:color w:val="000000"/>
        </w:rPr>
        <w:t xml:space="preserve">zasadą „do no </w:t>
      </w:r>
      <w:proofErr w:type="spellStart"/>
      <w:r w:rsidRPr="0072111B">
        <w:rPr>
          <w:rFonts w:eastAsia="Calibri" w:cs="Arial"/>
          <w:color w:val="000000"/>
        </w:rPr>
        <w:t>significant</w:t>
      </w:r>
      <w:proofErr w:type="spellEnd"/>
      <w:r w:rsidRPr="0072111B">
        <w:rPr>
          <w:rFonts w:eastAsia="Calibri" w:cs="Arial"/>
          <w:color w:val="000000"/>
        </w:rPr>
        <w:t xml:space="preserve"> </w:t>
      </w:r>
      <w:proofErr w:type="spellStart"/>
      <w:r w:rsidRPr="0072111B">
        <w:rPr>
          <w:rFonts w:eastAsia="Calibri" w:cs="Arial"/>
          <w:color w:val="000000"/>
        </w:rPr>
        <w:t>harm</w:t>
      </w:r>
      <w:proofErr w:type="spellEnd"/>
      <w:r w:rsidRPr="0072111B">
        <w:rPr>
          <w:rFonts w:eastAsia="Calibri" w:cs="Arial"/>
          <w:color w:val="000000"/>
        </w:rPr>
        <w:t>” (DNSH) – „nie czyń poważnych szkód” (kryterium ogólne zerojedynkowe nr 8).</w:t>
      </w:r>
      <w:bookmarkStart w:id="23" w:name="_Toc499114339"/>
    </w:p>
    <w:p w14:paraId="5A4FFB24" w14:textId="77777777" w:rsidR="007B0524" w:rsidRDefault="007B0524" w:rsidP="001C3CAC">
      <w:pPr>
        <w:spacing w:after="0"/>
        <w:rPr>
          <w:rFonts w:eastAsiaTheme="majorEastAsia" w:cs="Arial"/>
          <w:b/>
          <w:bCs/>
        </w:rPr>
      </w:pPr>
    </w:p>
    <w:p w14:paraId="49627350" w14:textId="0DFECDB9" w:rsidR="0003320F" w:rsidRPr="007B0524" w:rsidRDefault="0003320F" w:rsidP="001C3CAC">
      <w:pPr>
        <w:spacing w:after="0"/>
        <w:rPr>
          <w:rFonts w:eastAsia="Calibri" w:cs="Arial"/>
          <w:b/>
          <w:bCs/>
          <w:color w:val="000000"/>
        </w:rPr>
      </w:pPr>
      <w:r w:rsidRPr="007B0524">
        <w:rPr>
          <w:rFonts w:eastAsiaTheme="majorEastAsia" w:cs="Arial"/>
          <w:b/>
          <w:bCs/>
        </w:rPr>
        <w:t>Zasada równości szans i niedyskrymina</w:t>
      </w:r>
      <w:r w:rsidR="00DA7E98">
        <w:rPr>
          <w:rFonts w:eastAsiaTheme="majorEastAsia" w:cs="Arial"/>
          <w:b/>
          <w:bCs/>
        </w:rPr>
        <w:t xml:space="preserve">cji, w tym dostępność dla osób </w:t>
      </w:r>
      <w:r w:rsidRPr="007B0524">
        <w:rPr>
          <w:rFonts w:eastAsiaTheme="majorEastAsia" w:cs="Arial"/>
          <w:b/>
          <w:bCs/>
        </w:rPr>
        <w:t>z niepełnosprawnościami</w:t>
      </w:r>
      <w:bookmarkEnd w:id="23"/>
    </w:p>
    <w:p w14:paraId="60EE98BB" w14:textId="77777777" w:rsidR="0003320F" w:rsidRPr="0003320F" w:rsidRDefault="0003320F" w:rsidP="001C3CAC">
      <w:pPr>
        <w:rPr>
          <w:rFonts w:cs="Arial"/>
          <w:i/>
          <w:strike/>
        </w:rPr>
      </w:pPr>
      <w:bookmarkStart w:id="24" w:name="podr_4_2"/>
      <w:r w:rsidRPr="0003320F">
        <w:rPr>
          <w:rFonts w:cs="Arial"/>
        </w:rPr>
        <w:t>Wnioskodawca zobowiązany jest do zapewnienia we wniosku o dofinansowanie projektu zapisów potwierdzających dostępność dla osób z niepełnosprawnościami, zgodnie ze </w:t>
      </w:r>
      <w:r w:rsidRPr="0003320F">
        <w:rPr>
          <w:rFonts w:cs="Arial"/>
          <w:i/>
        </w:rPr>
        <w:t>Standardami dostępności dla polityki spójności 2021-2027</w:t>
      </w:r>
      <w:r w:rsidRPr="0003320F">
        <w:rPr>
          <w:rFonts w:cs="Arial"/>
        </w:rPr>
        <w:t xml:space="preserve">, określonymi w załączniku nr 2 do </w:t>
      </w:r>
      <w:r w:rsidRPr="0003320F">
        <w:rPr>
          <w:rFonts w:cs="Arial"/>
          <w:i/>
        </w:rPr>
        <w:t xml:space="preserve">Wytycznych </w:t>
      </w:r>
      <w:r w:rsidR="00977BC9">
        <w:rPr>
          <w:rFonts w:cs="Arial"/>
          <w:i/>
        </w:rPr>
        <w:t>równościowych.</w:t>
      </w:r>
    </w:p>
    <w:bookmarkEnd w:id="24"/>
    <w:p w14:paraId="3C662184" w14:textId="77777777" w:rsidR="0003320F" w:rsidRPr="0003320F" w:rsidRDefault="0003320F" w:rsidP="001C3CAC">
      <w:pPr>
        <w:rPr>
          <w:rFonts w:cs="Arial"/>
        </w:rPr>
      </w:pPr>
      <w:r w:rsidRPr="0003320F">
        <w:rPr>
          <w:rFonts w:cs="Arial"/>
          <w:b/>
          <w:color w:val="2F5496"/>
        </w:rPr>
        <w:lastRenderedPageBreak/>
        <w:t>UWAGA!</w:t>
      </w:r>
      <w:r w:rsidRPr="0003320F">
        <w:rPr>
          <w:rFonts w:cs="Arial"/>
        </w:rPr>
        <w:t xml:space="preserve"> IZ wymaga, aby Wnioskodawca w treści wniosku o dofinasowanie zawarł deklarację, że projekt będzie realizowany zgodnie ze </w:t>
      </w:r>
      <w:r w:rsidRPr="0003320F">
        <w:rPr>
          <w:rFonts w:cs="Arial"/>
          <w:i/>
        </w:rPr>
        <w:t>Standardami dostępności dla polityki spójności 2021-2027</w:t>
      </w:r>
      <w:r w:rsidRPr="0003320F">
        <w:rPr>
          <w:rFonts w:cs="Arial"/>
        </w:rPr>
        <w:t xml:space="preserve">.  </w:t>
      </w:r>
    </w:p>
    <w:p w14:paraId="352087CA" w14:textId="77777777" w:rsidR="0003320F" w:rsidRPr="0003320F" w:rsidRDefault="0003320F" w:rsidP="001C3CAC">
      <w:pPr>
        <w:rPr>
          <w:rFonts w:cs="Arial"/>
        </w:rPr>
      </w:pPr>
      <w:r w:rsidRPr="0003320F">
        <w:rPr>
          <w:rFonts w:cs="Arial"/>
          <w:b/>
          <w:color w:val="2F5496"/>
        </w:rPr>
        <w:t>UWAGA!</w:t>
      </w:r>
      <w:r w:rsidRPr="0003320F">
        <w:rPr>
          <w:rFonts w:cs="Arial"/>
        </w:rPr>
        <w:t xml:space="preserve"> Należy zwrócić uwagę, żeby nie utożsamiać zasady równości szans i niedyskryminacji, w tym dostępności dla osób z niepełnosprawnościami (kryterium ogólne zerojedynkowe nr 4)</w:t>
      </w:r>
      <w:r w:rsidRPr="0003320F">
        <w:rPr>
          <w:rFonts w:cs="Arial"/>
          <w:color w:val="0000FF"/>
        </w:rPr>
        <w:t xml:space="preserve"> </w:t>
      </w:r>
      <w:r w:rsidRPr="0003320F">
        <w:rPr>
          <w:rFonts w:cs="Arial"/>
        </w:rPr>
        <w:t>z zasadą równości szans kobiet i mężczyzn (kryterium ogólne zerojedynkowe nr 5).</w:t>
      </w:r>
    </w:p>
    <w:p w14:paraId="3C062B1F" w14:textId="77777777" w:rsidR="0003320F" w:rsidRPr="0003320F" w:rsidRDefault="0003320F" w:rsidP="001C3CAC">
      <w:pPr>
        <w:rPr>
          <w:rFonts w:cs="Arial"/>
        </w:rPr>
      </w:pPr>
      <w:r w:rsidRPr="0003320F">
        <w:rPr>
          <w:rFonts w:cs="Arial"/>
        </w:rPr>
        <w:t xml:space="preserve">W </w:t>
      </w:r>
      <w:r w:rsidRPr="0003320F">
        <w:rPr>
          <w:rFonts w:cs="Arial"/>
          <w:i/>
        </w:rPr>
        <w:t>Instrukcji</w:t>
      </w:r>
      <w:r w:rsidRPr="0003320F">
        <w:rPr>
          <w:rFonts w:cs="Arial"/>
        </w:rPr>
        <w:t xml:space="preserve"> </w:t>
      </w:r>
      <w:r w:rsidRPr="0003320F">
        <w:rPr>
          <w:rFonts w:cs="Arial"/>
          <w:i/>
          <w:iCs/>
        </w:rPr>
        <w:t>merytorycznej</w:t>
      </w:r>
      <w:r w:rsidRPr="0003320F">
        <w:rPr>
          <w:rFonts w:cs="Arial"/>
        </w:rPr>
        <w:t xml:space="preserve"> Wnioskodawca znajdzie wskazówki, w jaki sposób odnieść się do kwestii dostępności dla osób z niepełnosprawnościami. </w:t>
      </w:r>
    </w:p>
    <w:p w14:paraId="53B11CD3" w14:textId="77777777" w:rsidR="0003320F" w:rsidRPr="0003320F" w:rsidRDefault="0003320F" w:rsidP="001C3CAC">
      <w:pPr>
        <w:rPr>
          <w:rFonts w:cs="Arial"/>
        </w:rPr>
      </w:pPr>
      <w:r w:rsidRPr="0003320F">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4CABBF51" w14:textId="77777777" w:rsidR="0003320F" w:rsidRPr="0003320F" w:rsidRDefault="0003320F" w:rsidP="001C3CAC">
      <w:pPr>
        <w:rPr>
          <w:rFonts w:cs="Arial"/>
          <w:b/>
        </w:rPr>
      </w:pPr>
      <w:r w:rsidRPr="0003320F">
        <w:rPr>
          <w:rFonts w:cs="Arial"/>
          <w:b/>
        </w:rPr>
        <w:t>Założenie, że do projektu nie mogą zgłosić się (czy nie zgłaszają się) osoby z niepełnosprawnościami lub zgłaszają się wyłącznie takie z określonymi rodzajami niepełnosprawności, jest dyskryminacją.</w:t>
      </w:r>
    </w:p>
    <w:p w14:paraId="73D75925" w14:textId="77777777" w:rsidR="0003320F" w:rsidRPr="0003320F" w:rsidRDefault="0003320F" w:rsidP="001C3CAC">
      <w:pPr>
        <w:rPr>
          <w:rFonts w:cs="Arial"/>
          <w:b/>
        </w:rPr>
      </w:pPr>
      <w:r w:rsidRPr="0003320F">
        <w:rPr>
          <w:rFonts w:cs="Arial"/>
          <w:b/>
        </w:rPr>
        <w:t>Należy pamiętać, że nawet jeśli projekt nie jest wprost skierowany do osób z niepełnosprawnością, powinien zapewnić równy dostęp osobom z różnymi rodzajami niepełnosprawności</w:t>
      </w:r>
      <w:r w:rsidRPr="0003320F">
        <w:rPr>
          <w:rFonts w:cs="Arial"/>
        </w:rPr>
        <w:t>, szczególnie poprzez poniższ</w:t>
      </w:r>
      <w:r w:rsidR="0088616C">
        <w:rPr>
          <w:rFonts w:cs="Arial"/>
        </w:rPr>
        <w:t>e rozwiązania:</w:t>
      </w:r>
    </w:p>
    <w:p w14:paraId="2783CEAA" w14:textId="77777777" w:rsidR="0003320F" w:rsidRPr="002D53AF" w:rsidRDefault="003D4E41" w:rsidP="001C3CAC">
      <w:pPr>
        <w:numPr>
          <w:ilvl w:val="0"/>
          <w:numId w:val="5"/>
        </w:numPr>
        <w:autoSpaceDE w:val="0"/>
        <w:autoSpaceDN w:val="0"/>
        <w:adjustRightInd w:val="0"/>
        <w:spacing w:after="0"/>
        <w:ind w:left="357" w:hanging="357"/>
        <w:rPr>
          <w:rFonts w:cs="Arial"/>
        </w:rPr>
      </w:pPr>
      <w:r>
        <w:rPr>
          <w:rFonts w:cs="Arial"/>
          <w:b/>
        </w:rPr>
        <w:t>D</w:t>
      </w:r>
      <w:r w:rsidR="0003320F" w:rsidRPr="0003320F">
        <w:rPr>
          <w:rFonts w:cs="Arial"/>
          <w:b/>
        </w:rPr>
        <w:t xml:space="preserve">ostęp na każdym etapie realizacji projektu </w:t>
      </w:r>
      <w:r w:rsidR="0003320F" w:rsidRPr="003D4E41">
        <w:rPr>
          <w:rFonts w:cs="Arial"/>
        </w:rPr>
        <w:t>–</w:t>
      </w:r>
      <w:r w:rsidR="0003320F" w:rsidRPr="0003320F">
        <w:rPr>
          <w:rFonts w:cs="Arial"/>
        </w:rPr>
        <w:t xml:space="preserve"> możliwość korzystania z infrastruktury, transportu, technologii i systemów informacyjno-komunikacyjnych oraz produktów i usług. Pozwala ona w szczególności osobom z niepełnosprawnościami i 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w:t>
      </w:r>
      <w:r w:rsidR="00F53A30">
        <w:rPr>
          <w:rFonts w:cs="Arial"/>
        </w:rPr>
        <w:br/>
      </w:r>
      <w:r w:rsidR="0003320F" w:rsidRPr="0003320F">
        <w:rPr>
          <w:rFonts w:cs="Arial"/>
        </w:rPr>
        <w:t xml:space="preserve">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w:t>
      </w:r>
      <w:r w:rsidR="00F53A30">
        <w:rPr>
          <w:rFonts w:cs="Arial"/>
        </w:rPr>
        <w:br/>
      </w:r>
      <w:r w:rsidR="0003320F" w:rsidRPr="0003320F">
        <w:rPr>
          <w:rFonts w:cs="Arial"/>
        </w:rPr>
        <w:t xml:space="preserve">z niepełnosprawnościami. </w:t>
      </w:r>
    </w:p>
    <w:p w14:paraId="069C0ABB" w14:textId="3C1D1D70" w:rsidR="0003320F" w:rsidRDefault="0003320F" w:rsidP="002D53AF">
      <w:pPr>
        <w:numPr>
          <w:ilvl w:val="0"/>
          <w:numId w:val="5"/>
        </w:numPr>
        <w:autoSpaceDE w:val="0"/>
        <w:autoSpaceDN w:val="0"/>
        <w:adjustRightInd w:val="0"/>
        <w:spacing w:after="0"/>
        <w:rPr>
          <w:rFonts w:cs="Arial"/>
        </w:rPr>
      </w:pPr>
      <w:r w:rsidRPr="002D53AF">
        <w:rPr>
          <w:rFonts w:cs="Arial"/>
          <w:b/>
        </w:rPr>
        <w:t>Koncepcja uniwersalnego projektowania</w:t>
      </w:r>
      <w:r w:rsidRPr="002D53AF">
        <w:rPr>
          <w:rFonts w:cs="Arial"/>
        </w:rPr>
        <w:t xml:space="preserve"> – zgodnie z ww. </w:t>
      </w:r>
      <w:r w:rsidRPr="002D53AF">
        <w:rPr>
          <w:rFonts w:cs="Arial"/>
          <w:i/>
        </w:rPr>
        <w:t>Wytycznymi równośc</w:t>
      </w:r>
      <w:r w:rsidR="006A1723">
        <w:rPr>
          <w:rFonts w:cs="Arial"/>
          <w:i/>
        </w:rPr>
        <w:t xml:space="preserve">iowymi </w:t>
      </w:r>
      <w:r w:rsidRPr="002D53AF">
        <w:rPr>
          <w:rFonts w:cs="Arial"/>
        </w:rPr>
        <w:t xml:space="preserve">to projektowanie produktów, środowiska, programów i usług w taki sposób, by były </w:t>
      </w:r>
      <w:r w:rsidRPr="002D53AF">
        <w:rPr>
          <w:rFonts w:cs="Arial"/>
        </w:rPr>
        <w:lastRenderedPageBreak/>
        <w:t xml:space="preserve">użyteczne dla wszystkich, w możliwie największym stopniu, bez potrzeby adaptacji lub specjalistycznego projektowania. Koncepcja ta jest realizowana co najmniej przez zastosowanie </w:t>
      </w:r>
      <w:r w:rsidRPr="002D53AF">
        <w:rPr>
          <w:rFonts w:cs="Arial"/>
          <w:i/>
        </w:rPr>
        <w:t xml:space="preserve">Standardów dostępności, </w:t>
      </w:r>
      <w:r w:rsidRPr="002D53AF">
        <w:rPr>
          <w:rFonts w:cs="Arial"/>
        </w:rPr>
        <w:t>określonych w załączniku nr 2</w:t>
      </w:r>
      <w:r w:rsidRPr="002D53AF">
        <w:rPr>
          <w:rFonts w:cs="Arial"/>
          <w:i/>
        </w:rPr>
        <w:t xml:space="preserve"> </w:t>
      </w:r>
      <w:r w:rsidRPr="002D53AF">
        <w:rPr>
          <w:rFonts w:cs="Arial"/>
        </w:rPr>
        <w:t xml:space="preserve">do </w:t>
      </w:r>
      <w:r w:rsidRPr="002D53AF">
        <w:rPr>
          <w:rFonts w:cs="Arial"/>
          <w:i/>
        </w:rPr>
        <w:t>Wytycznych równościowych</w:t>
      </w:r>
      <w:r w:rsidRPr="002D53AF">
        <w:rPr>
          <w:rFonts w:cs="Arial"/>
        </w:rPr>
        <w:t>. Uniwersalne projektowanie nie wyklucza zapewnienia dodatkowych udogodnień dla szczególnych potrzeb osób z niepełnosprawnościami, jeśli jest to potrzebne.</w:t>
      </w:r>
    </w:p>
    <w:p w14:paraId="2B54598A" w14:textId="77777777" w:rsidR="002D53AF" w:rsidRPr="002D53AF" w:rsidRDefault="002D53AF" w:rsidP="002D53AF">
      <w:pPr>
        <w:autoSpaceDE w:val="0"/>
        <w:autoSpaceDN w:val="0"/>
        <w:adjustRightInd w:val="0"/>
        <w:spacing w:after="0"/>
        <w:ind w:left="360"/>
        <w:rPr>
          <w:rFonts w:cs="Arial"/>
        </w:rPr>
      </w:pPr>
    </w:p>
    <w:p w14:paraId="1E03800D" w14:textId="27080C5E" w:rsidR="0003320F" w:rsidRPr="006A1723" w:rsidRDefault="0003320F" w:rsidP="001C3CAC">
      <w:pPr>
        <w:numPr>
          <w:ilvl w:val="0"/>
          <w:numId w:val="5"/>
        </w:numPr>
        <w:autoSpaceDE w:val="0"/>
        <w:autoSpaceDN w:val="0"/>
        <w:adjustRightInd w:val="0"/>
        <w:spacing w:after="0"/>
        <w:rPr>
          <w:rFonts w:cs="Arial"/>
        </w:rPr>
      </w:pPr>
      <w:r w:rsidRPr="0003320F">
        <w:rPr>
          <w:rFonts w:cs="Arial"/>
          <w:b/>
        </w:rPr>
        <w:t>Mechanizm racjonalnych usprawnień</w:t>
      </w:r>
      <w:r w:rsidRPr="0003320F">
        <w:rPr>
          <w:rFonts w:cs="Arial"/>
        </w:rPr>
        <w:t xml:space="preserve"> – oznacza możliwość sfinansowania specyficznych działań dostosowawczych, uruchamianych wraz z pojawieniem się w projekcie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p>
    <w:p w14:paraId="07543796" w14:textId="77777777" w:rsidR="0003320F" w:rsidRPr="0003320F" w:rsidRDefault="0003320F" w:rsidP="001C3CAC">
      <w:pPr>
        <w:spacing w:before="240" w:after="120"/>
        <w:rPr>
          <w:rFonts w:cs="Arial"/>
          <w:b/>
        </w:rPr>
      </w:pPr>
      <w:r w:rsidRPr="0003320F">
        <w:rPr>
          <w:rFonts w:cs="Arial"/>
          <w:b/>
        </w:rPr>
        <w:t xml:space="preserve">PAMIĘTAJ ! W procesie rekrutacji, który musi być zaplanowany tak, aby nikomu nie ograniczał dostępu, </w:t>
      </w:r>
      <w:r w:rsidRPr="0003320F">
        <w:rPr>
          <w:rFonts w:cs="Arial"/>
        </w:rPr>
        <w:t>należy mieć na uwadze poniższe zasady</w:t>
      </w:r>
      <w:r w:rsidRPr="0003320F">
        <w:rPr>
          <w:rFonts w:cs="Arial"/>
          <w:b/>
        </w:rPr>
        <w:t>:</w:t>
      </w:r>
    </w:p>
    <w:p w14:paraId="44E52632" w14:textId="77777777" w:rsidR="0003320F" w:rsidRPr="00716D6B" w:rsidRDefault="0003320F" w:rsidP="001C3CAC">
      <w:pPr>
        <w:pStyle w:val="TreNum-K"/>
        <w:numPr>
          <w:ilvl w:val="0"/>
          <w:numId w:val="28"/>
        </w:numPr>
        <w:jc w:val="left"/>
        <w:rPr>
          <w:b/>
        </w:rPr>
      </w:pPr>
      <w:r w:rsidRPr="0003320F">
        <w:rPr>
          <w:lang w:eastAsia="pl-PL"/>
        </w:rPr>
        <w:t>Strony internetowe na których będą publikowane informacje o projekcie oraz dokumenty rekrutacyjne są zgodnie z wymogami WCAG 2.1 na poziomie AA.</w:t>
      </w:r>
    </w:p>
    <w:p w14:paraId="25F7288D" w14:textId="77777777" w:rsidR="0003320F" w:rsidRPr="0003320F" w:rsidRDefault="0003320F" w:rsidP="001C3CAC">
      <w:pPr>
        <w:pStyle w:val="TreNum-K"/>
        <w:numPr>
          <w:ilvl w:val="0"/>
          <w:numId w:val="0"/>
        </w:numPr>
        <w:jc w:val="left"/>
        <w:rPr>
          <w:b/>
        </w:rPr>
      </w:pPr>
      <w:r w:rsidRPr="0003320F">
        <w:rPr>
          <w:lang w:eastAsia="pl-PL"/>
        </w:rPr>
        <w:t>W</w:t>
      </w:r>
      <w:r w:rsidRPr="00716D6B">
        <w:rPr>
          <w:rStyle w:val="TreNum-KZnak"/>
        </w:rPr>
        <w:t>a</w:t>
      </w:r>
      <w:r w:rsidRPr="0003320F">
        <w:rPr>
          <w:lang w:eastAsia="pl-PL"/>
        </w:rPr>
        <w:t>rto również zamieścić informacje o projekcie na stronach/portalach internetowych, z których korzystają osoby z niepełnosprawnościami.</w:t>
      </w:r>
    </w:p>
    <w:p w14:paraId="15DB81A4" w14:textId="77777777" w:rsidR="0003320F" w:rsidRPr="0003320F" w:rsidRDefault="0003320F" w:rsidP="001C3CAC">
      <w:pPr>
        <w:pStyle w:val="TreNum-K"/>
        <w:numPr>
          <w:ilvl w:val="0"/>
          <w:numId w:val="23"/>
        </w:numPr>
        <w:jc w:val="left"/>
        <w:rPr>
          <w:b/>
        </w:rPr>
      </w:pPr>
      <w:r w:rsidRPr="0003320F">
        <w:rPr>
          <w:lang w:eastAsia="pl-PL"/>
        </w:rPr>
        <w:t>Konieczne jest zapewnienie różnych sposobów informowania o możliwości udziału w projekcie: plakaty, ulotki, informacje w polskim języku migowym (film na www) itp.</w:t>
      </w:r>
      <w:r w:rsidRPr="0003320F">
        <w:t xml:space="preserve"> </w:t>
      </w:r>
      <w:r w:rsidRPr="0003320F">
        <w:rPr>
          <w:lang w:eastAsia="pl-PL"/>
        </w:rPr>
        <w:t xml:space="preserve">Zalecane jest także nagranie komunikatu z zaproszeniem do wzięcia udziału w projekcie </w:t>
      </w:r>
      <w:r w:rsidR="00F53A30">
        <w:rPr>
          <w:lang w:eastAsia="pl-PL"/>
        </w:rPr>
        <w:br/>
      </w:r>
      <w:r w:rsidRPr="0003320F">
        <w:rPr>
          <w:lang w:eastAsia="pl-PL"/>
        </w:rPr>
        <w:t xml:space="preserve">w formie video z napisami w języku łatwym oraz z tłumaczeniem na polski język migowy. </w:t>
      </w:r>
      <w:r w:rsidR="00F53A30">
        <w:rPr>
          <w:lang w:eastAsia="pl-PL"/>
        </w:rPr>
        <w:br/>
      </w:r>
      <w:r w:rsidRPr="0003320F">
        <w:rPr>
          <w:lang w:eastAsia="pl-PL"/>
        </w:rPr>
        <w:t>W ramach dobrych praktyk Wnioskodawca może poinformować lokalne organizacje/instytucje działające na rzecz osób z niepełnosprawnościami o realizacji projektu. Materiały informacyjne natomiast warto kierować również do np. członków rodzin, znajomych czy opiekunów osób z niepełnosprawnościami.</w:t>
      </w:r>
    </w:p>
    <w:p w14:paraId="210930F2" w14:textId="77777777" w:rsidR="0003320F" w:rsidRPr="0003320F" w:rsidRDefault="0003320F" w:rsidP="001C3CAC">
      <w:pPr>
        <w:pStyle w:val="TreNum-K"/>
        <w:numPr>
          <w:ilvl w:val="0"/>
          <w:numId w:val="23"/>
        </w:numPr>
        <w:jc w:val="left"/>
        <w:rPr>
          <w:b/>
        </w:rPr>
      </w:pPr>
      <w:r w:rsidRPr="0003320F">
        <w:rPr>
          <w:lang w:eastAsia="pl-PL"/>
        </w:rPr>
        <w:t xml:space="preserve">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t>
      </w:r>
      <w:r w:rsidR="00F53A30">
        <w:rPr>
          <w:lang w:eastAsia="pl-PL"/>
        </w:rPr>
        <w:br/>
      </w:r>
      <w:r w:rsidRPr="0003320F">
        <w:rPr>
          <w:lang w:eastAsia="pl-PL"/>
        </w:rPr>
        <w:t>W</w:t>
      </w:r>
      <w:r w:rsidR="002D53AF">
        <w:rPr>
          <w:lang w:eastAsia="pl-PL"/>
        </w:rPr>
        <w:t xml:space="preserve"> </w:t>
      </w:r>
      <w:r w:rsidRPr="0003320F">
        <w:rPr>
          <w:lang w:eastAsia="pl-PL"/>
        </w:rPr>
        <w:t>formularzu rekrutacyjnym warto zamieścić dodatkowe pytanie otwarte o szczególne potrzeby uczestników projektu.</w:t>
      </w:r>
    </w:p>
    <w:p w14:paraId="78A76883" w14:textId="77777777" w:rsidR="0003320F" w:rsidRPr="0003320F" w:rsidRDefault="0003320F" w:rsidP="001C3CAC">
      <w:pPr>
        <w:pStyle w:val="TreNum-K"/>
        <w:numPr>
          <w:ilvl w:val="0"/>
          <w:numId w:val="23"/>
        </w:numPr>
        <w:jc w:val="left"/>
        <w:rPr>
          <w:b/>
        </w:rPr>
      </w:pPr>
      <w:r w:rsidRPr="0003320F">
        <w:t xml:space="preserve">W materiałach informacyjnych i rekrutacyjnych należy opisać dostępności biura projektu/miejsce rekrutacji (szerokość drzwi, możliwość pokonania schodów, winda itp.), dostępność tłumaczenia na język migowy, możliwość korzystania z pętli indukcyjnej itp. </w:t>
      </w:r>
      <w:r w:rsidRPr="0003320F">
        <w:lastRenderedPageBreak/>
        <w:t>Dobrym rozwiązaniem jest przygotowanie przewodnika objaśniającego, w jaki sposób należy korzystać z danej placówki.</w:t>
      </w:r>
    </w:p>
    <w:p w14:paraId="4961570F" w14:textId="77777777" w:rsidR="002D53AF" w:rsidRPr="002D53AF" w:rsidRDefault="0003320F" w:rsidP="001C3CAC">
      <w:pPr>
        <w:rPr>
          <w:rFonts w:cs="Arial"/>
        </w:rPr>
      </w:pPr>
      <w:r w:rsidRPr="0003320F">
        <w:rPr>
          <w:rFonts w:cs="Arial"/>
          <w:b/>
        </w:rPr>
        <w:t xml:space="preserve">IOK zaleca zapoznanie się z  poradnikami, dokumentami, wskazówkami na stronie </w:t>
      </w:r>
      <w:hyperlink r:id="rId11" w:history="1">
        <w:r w:rsidRPr="0003320F">
          <w:rPr>
            <w:rFonts w:cs="Arial"/>
          </w:rPr>
          <w:t>https://www.funduszeeuropejskie.gov.pl/strony/o-funduszach/fundusze-europejskie-bez-barier/dostepnosc-plus/</w:t>
        </w:r>
      </w:hyperlink>
    </w:p>
    <w:p w14:paraId="3655C2D3" w14:textId="77777777" w:rsidR="002D53AF" w:rsidRPr="002D53AF" w:rsidRDefault="005E237D" w:rsidP="00E33E29">
      <w:pPr>
        <w:pStyle w:val="Rozdzia-K"/>
        <w:spacing w:line="480" w:lineRule="auto"/>
        <w:ind w:left="0"/>
        <w:jc w:val="left"/>
      </w:pPr>
      <w:bookmarkStart w:id="25" w:name="_Toc134446808"/>
      <w:r>
        <w:t xml:space="preserve"> </w:t>
      </w:r>
      <w:bookmarkStart w:id="26" w:name="_Toc137810491"/>
      <w:r w:rsidR="005A5EDA" w:rsidRPr="005A5EDA">
        <w:t xml:space="preserve">Zasady </w:t>
      </w:r>
      <w:r w:rsidR="005A5EDA" w:rsidRPr="00940EA3">
        <w:t>finansowania</w:t>
      </w:r>
      <w:bookmarkEnd w:id="25"/>
      <w:bookmarkEnd w:id="26"/>
      <w:r w:rsidR="001C34A8">
        <w:t xml:space="preserve"> </w:t>
      </w:r>
    </w:p>
    <w:p w14:paraId="131FF378" w14:textId="77777777" w:rsidR="005A5EDA" w:rsidRPr="005A5EDA" w:rsidRDefault="005A5EDA" w:rsidP="001C3CAC">
      <w:pPr>
        <w:pStyle w:val="TreNum-K"/>
        <w:numPr>
          <w:ilvl w:val="0"/>
          <w:numId w:val="29"/>
        </w:numPr>
        <w:jc w:val="left"/>
      </w:pPr>
      <w:r w:rsidRPr="005A5EDA">
        <w:t xml:space="preserve">Koszty projektu przedstawiane są w formie budżetu zadaniowego i wykazywane w podziale na koszty bezpośrednie i pośrednie. Kwalifikowalne koszty bezpośrednie projektu przedstawione są w podziale na zadania merytoryczne. Pojedyncze wydatki nie stanowią zadania merytorycznego. </w:t>
      </w:r>
    </w:p>
    <w:p w14:paraId="4BCBFBC3" w14:textId="77777777" w:rsidR="005A5EDA" w:rsidRPr="005A5EDA" w:rsidRDefault="005A5EDA" w:rsidP="001C3CAC">
      <w:pPr>
        <w:pStyle w:val="TreNum-K"/>
        <w:numPr>
          <w:ilvl w:val="0"/>
          <w:numId w:val="23"/>
        </w:numPr>
        <w:jc w:val="left"/>
      </w:pPr>
      <w:r w:rsidRPr="005A5EDA">
        <w:t xml:space="preserve">Koszt każdego zadania kalkulowany jest w oparciu o budżet. Jest on podstawą m.in. do oceny </w:t>
      </w:r>
      <w:r w:rsidRPr="005A5EDA">
        <w:rPr>
          <w:bCs/>
        </w:rPr>
        <w:t xml:space="preserve">kwalifikowalności </w:t>
      </w:r>
      <w:r w:rsidRPr="005A5EDA">
        <w:t xml:space="preserve">(zgodność z </w:t>
      </w:r>
      <w:r w:rsidRPr="005A5EDA">
        <w:rPr>
          <w:i/>
          <w:iCs/>
        </w:rPr>
        <w:t xml:space="preserve">Wytycznymi </w:t>
      </w:r>
      <w:r w:rsidR="00E958F7">
        <w:rPr>
          <w:i/>
          <w:iCs/>
        </w:rPr>
        <w:t>kwalifikowalności</w:t>
      </w:r>
      <w:r w:rsidRPr="005A5EDA">
        <w:rPr>
          <w:i/>
          <w:iCs/>
        </w:rPr>
        <w:t>)</w:t>
      </w:r>
      <w:r w:rsidRPr="005A5EDA">
        <w:t xml:space="preserve">, </w:t>
      </w:r>
      <w:r w:rsidRPr="005A5EDA">
        <w:rPr>
          <w:bCs/>
        </w:rPr>
        <w:t xml:space="preserve">racjonalności </w:t>
      </w:r>
      <w:r w:rsidRPr="005A5EDA">
        <w:t xml:space="preserve">(rynkowość kosztów) i </w:t>
      </w:r>
      <w:r w:rsidRPr="005A5EDA">
        <w:rPr>
          <w:bCs/>
        </w:rPr>
        <w:t xml:space="preserve">efektywności </w:t>
      </w:r>
      <w:r w:rsidRPr="005A5EDA">
        <w:t xml:space="preserve">wydatków (relacja nakład/rezultat), dokonywanej przez KOP. </w:t>
      </w:r>
    </w:p>
    <w:p w14:paraId="6B865861" w14:textId="77777777" w:rsidR="001114A6" w:rsidRPr="00940EA3" w:rsidRDefault="005A5EDA" w:rsidP="001C3CAC">
      <w:pPr>
        <w:pStyle w:val="TreNum-K"/>
        <w:numPr>
          <w:ilvl w:val="0"/>
          <w:numId w:val="23"/>
        </w:numPr>
        <w:jc w:val="left"/>
      </w:pPr>
      <w:r w:rsidRPr="005A5EDA">
        <w:t>Tworząc budżet należy pamiętać, iż zasady kwalifikowalności dotyczą poszczególnych kosztów w kontekście zaplanowanych i realizowanych zadań a także celu projektu.</w:t>
      </w:r>
    </w:p>
    <w:p w14:paraId="1BF97AB3" w14:textId="77777777" w:rsidR="005A5EDA" w:rsidRPr="005E237D" w:rsidRDefault="005A5EDA" w:rsidP="00E33E29">
      <w:pPr>
        <w:pStyle w:val="Podrozdzia-K"/>
        <w:spacing w:line="480" w:lineRule="auto"/>
        <w:ind w:left="340"/>
        <w:jc w:val="left"/>
      </w:pPr>
      <w:bookmarkStart w:id="27" w:name="_Toc134446809"/>
      <w:bookmarkStart w:id="28" w:name="_Toc137810492"/>
      <w:r w:rsidRPr="00940EA3">
        <w:t>Koszty</w:t>
      </w:r>
      <w:r w:rsidRPr="005E237D">
        <w:t xml:space="preserve"> bezpośrednie</w:t>
      </w:r>
      <w:bookmarkEnd w:id="27"/>
      <w:bookmarkEnd w:id="28"/>
    </w:p>
    <w:p w14:paraId="4CE4E970" w14:textId="22EFF676" w:rsidR="005A5EDA" w:rsidRPr="00CD3C8F" w:rsidRDefault="005A5EDA" w:rsidP="001C3CAC">
      <w:pPr>
        <w:pStyle w:val="TreNum-K"/>
        <w:numPr>
          <w:ilvl w:val="0"/>
          <w:numId w:val="30"/>
        </w:numPr>
        <w:jc w:val="left"/>
        <w:rPr>
          <w:rFonts w:eastAsia="Calibri"/>
          <w:b/>
          <w:sz w:val="24"/>
          <w:szCs w:val="24"/>
        </w:rPr>
      </w:pPr>
      <w:r w:rsidRPr="005A5EDA">
        <w:t xml:space="preserve">W kosztach bezpośrednich Wnioskodawca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w:t>
      </w:r>
      <w:r w:rsidR="00437F49">
        <w:br/>
      </w:r>
      <w:r w:rsidRPr="005A5EDA">
        <w:t>o przeanalizowanych ofertach itp. Przedstawione przez Wnioskodawcę koszty nie m</w:t>
      </w:r>
      <w:r w:rsidR="003778F0">
        <w:t xml:space="preserve">ogą odbiegać od cen rynkowych. </w:t>
      </w:r>
    </w:p>
    <w:p w14:paraId="04DC4150" w14:textId="77777777" w:rsidR="005A5EDA" w:rsidRPr="00D320E7" w:rsidRDefault="005A5EDA" w:rsidP="001C3CAC">
      <w:pPr>
        <w:pStyle w:val="TreNum-K"/>
        <w:numPr>
          <w:ilvl w:val="0"/>
          <w:numId w:val="23"/>
        </w:numPr>
        <w:jc w:val="left"/>
      </w:pPr>
      <w:r w:rsidRPr="005A5EDA">
        <w:t xml:space="preserve">W ramach kosztów bezpośrednich nie można ująć żadnego kosztu, który znajduje się w katalogu kosztów pośrednich, o którym mowa </w:t>
      </w:r>
      <w:hyperlink w:anchor="podr_3_7" w:history="1">
        <w:r w:rsidR="005E50A4">
          <w:rPr>
            <w:color w:val="0000FF"/>
            <w:u w:val="single"/>
          </w:rPr>
          <w:t>w podrozdziale 4</w:t>
        </w:r>
        <w:r w:rsidRPr="005A5EDA">
          <w:rPr>
            <w:color w:val="0000FF"/>
            <w:u w:val="single"/>
          </w:rPr>
          <w:t>.7</w:t>
        </w:r>
      </w:hyperlink>
      <w:r w:rsidRPr="005A5EDA">
        <w:t xml:space="preserve"> Regulaminu wyboru projektów. Będzie to weryfikowane zarówno na etapie oceny wniosku o dofinansowanie, </w:t>
      </w:r>
      <w:r w:rsidR="00437F49">
        <w:br/>
      </w:r>
      <w:r w:rsidRPr="005A5EDA">
        <w:t xml:space="preserve">jak również na każdym etapie realizacji projektu. </w:t>
      </w:r>
      <w:bookmarkStart w:id="29" w:name="_Toc134446810"/>
    </w:p>
    <w:p w14:paraId="10C24274" w14:textId="77777777" w:rsidR="005A5EDA" w:rsidRPr="005A5EDA" w:rsidRDefault="005A5EDA" w:rsidP="00E33E29">
      <w:pPr>
        <w:pStyle w:val="Podrozdzia-K"/>
        <w:spacing w:line="480" w:lineRule="auto"/>
        <w:ind w:left="340"/>
        <w:jc w:val="left"/>
      </w:pPr>
      <w:bookmarkStart w:id="30" w:name="_Toc137810493"/>
      <w:r w:rsidRPr="00940EA3">
        <w:t>Cross</w:t>
      </w:r>
      <w:r w:rsidRPr="005A5EDA">
        <w:t>-</w:t>
      </w:r>
      <w:proofErr w:type="spellStart"/>
      <w:r w:rsidRPr="005A5EDA">
        <w:t>financing</w:t>
      </w:r>
      <w:proofErr w:type="spellEnd"/>
      <w:r w:rsidRPr="005A5EDA">
        <w:t xml:space="preserve"> oraz zakup środków trwałych</w:t>
      </w:r>
      <w:bookmarkEnd w:id="29"/>
      <w:bookmarkEnd w:id="30"/>
    </w:p>
    <w:p w14:paraId="077C0BF3" w14:textId="77777777" w:rsidR="005A5EDA" w:rsidRPr="005A5EDA" w:rsidRDefault="005A5EDA" w:rsidP="001C3CAC">
      <w:r w:rsidRPr="005A5EDA">
        <w:lastRenderedPageBreak/>
        <w:t>Cross-</w:t>
      </w:r>
      <w:proofErr w:type="spellStart"/>
      <w:r w:rsidRPr="005A5EDA">
        <w:t>financing</w:t>
      </w:r>
      <w:proofErr w:type="spellEnd"/>
      <w:r w:rsidRPr="005A5EDA">
        <w:t xml:space="preserve"> dotyczy wyłącznie takich kategorii wydatków, których poniesienie wynika z potrzeby realizacji danego projektu.</w:t>
      </w:r>
    </w:p>
    <w:p w14:paraId="3CE31868" w14:textId="77777777" w:rsidR="005A5EDA" w:rsidRPr="005A5EDA" w:rsidRDefault="005A5EDA" w:rsidP="001C3CAC">
      <w:pPr>
        <w:rPr>
          <w:bCs/>
          <w:szCs w:val="24"/>
        </w:rPr>
      </w:pPr>
      <w:r w:rsidRPr="005A5EDA">
        <w:t>Wartość wydatków w ramach cross-</w:t>
      </w:r>
      <w:proofErr w:type="spellStart"/>
      <w:r w:rsidRPr="005A5EDA">
        <w:t>financing</w:t>
      </w:r>
      <w:r w:rsidR="00E958F7">
        <w:t>u</w:t>
      </w:r>
      <w:proofErr w:type="spellEnd"/>
      <w:r w:rsidR="00E958F7">
        <w:t xml:space="preserve"> nie może stanowić więcej niż </w:t>
      </w:r>
      <w:r w:rsidR="00E958F7" w:rsidRPr="003F10A6">
        <w:t>1</w:t>
      </w:r>
      <w:r w:rsidRPr="003F10A6">
        <w:t>0%</w:t>
      </w:r>
      <w:r w:rsidRPr="003F10A6">
        <w:rPr>
          <w:b/>
          <w:bCs/>
          <w:szCs w:val="24"/>
        </w:rPr>
        <w:t xml:space="preserve"> </w:t>
      </w:r>
      <w:r w:rsidRPr="005A5EDA">
        <w:rPr>
          <w:bCs/>
          <w:szCs w:val="24"/>
        </w:rPr>
        <w:t>wartości projektu.</w:t>
      </w:r>
    </w:p>
    <w:p w14:paraId="6F2C3149" w14:textId="77777777" w:rsidR="005A5EDA" w:rsidRPr="005A5EDA" w:rsidRDefault="005A5EDA" w:rsidP="001C3CAC">
      <w:pPr>
        <w:rPr>
          <w:b/>
          <w:bCs/>
          <w:szCs w:val="24"/>
        </w:rPr>
      </w:pPr>
      <w:r w:rsidRPr="005A5EDA">
        <w:t>Wydatki poniesione w ramach cross-</w:t>
      </w:r>
      <w:proofErr w:type="spellStart"/>
      <w:r w:rsidRPr="005A5EDA">
        <w:t>financingu</w:t>
      </w:r>
      <w:proofErr w:type="spellEnd"/>
      <w:r w:rsidRPr="005A5EDA">
        <w:t xml:space="preserve"> w wysokości przekraczającej kwotę określoną w zatwierdzonym wniosku o dofinansowanie projektu są niekwalifikowalne.</w:t>
      </w:r>
    </w:p>
    <w:p w14:paraId="0D6B9FC1" w14:textId="77777777" w:rsidR="00437F49" w:rsidRPr="00E958F7" w:rsidRDefault="005A5EDA" w:rsidP="001C3CAC">
      <w:r w:rsidRPr="005A5EDA">
        <w:t>Kategorie wydatków, które zostaną poniesione w ramach cross-</w:t>
      </w:r>
      <w:proofErr w:type="spellStart"/>
      <w:r w:rsidRPr="005A5EDA">
        <w:t>financingu</w:t>
      </w:r>
      <w:proofErr w:type="spellEnd"/>
      <w:r w:rsidRPr="005A5EDA">
        <w:t>, uwzględnione są </w:t>
      </w:r>
      <w:r w:rsidR="00437F49">
        <w:br/>
      </w:r>
      <w:r w:rsidRPr="005A5EDA">
        <w:t>w zatwierdzonym wniosku o dofinansowanie projektu i podlegają rozliczeniu we wni</w:t>
      </w:r>
      <w:r w:rsidR="00E958F7">
        <w:t>oskach Beneficjenta o płatność.</w:t>
      </w:r>
    </w:p>
    <w:p w14:paraId="74DC67AE" w14:textId="77777777" w:rsidR="005A5EDA" w:rsidRPr="005A5EDA" w:rsidRDefault="005A5EDA" w:rsidP="001C3CAC">
      <w:pPr>
        <w:spacing w:after="0"/>
        <w:rPr>
          <w:rFonts w:cs="Arial"/>
        </w:rPr>
      </w:pPr>
      <w:r w:rsidRPr="005A5EDA">
        <w:rPr>
          <w:rFonts w:cs="Arial"/>
        </w:rPr>
        <w:t>Cross-</w:t>
      </w:r>
      <w:proofErr w:type="spellStart"/>
      <w:r w:rsidRPr="005A5EDA">
        <w:rPr>
          <w:rFonts w:cs="Arial"/>
        </w:rPr>
        <w:t>financing</w:t>
      </w:r>
      <w:proofErr w:type="spellEnd"/>
      <w:r w:rsidRPr="005A5EDA">
        <w:rPr>
          <w:rFonts w:cs="Arial"/>
        </w:rPr>
        <w:t xml:space="preserve"> w projektach EFS+ dotyczy wyłącznie: </w:t>
      </w:r>
    </w:p>
    <w:p w14:paraId="468283BC" w14:textId="77777777" w:rsidR="005A5EDA" w:rsidRPr="005A5EDA" w:rsidRDefault="005A5EDA" w:rsidP="001C3CAC">
      <w:pPr>
        <w:numPr>
          <w:ilvl w:val="1"/>
          <w:numId w:val="8"/>
        </w:numPr>
        <w:autoSpaceDE w:val="0"/>
        <w:autoSpaceDN w:val="0"/>
        <w:adjustRightInd w:val="0"/>
        <w:spacing w:after="0"/>
        <w:rPr>
          <w:rFonts w:cs="Arial"/>
        </w:rPr>
      </w:pPr>
      <w:r w:rsidRPr="005A5EDA">
        <w:rPr>
          <w:rFonts w:cs="Arial"/>
        </w:rPr>
        <w:t xml:space="preserve">zakupu gruntu i nieruchomości, </w:t>
      </w:r>
    </w:p>
    <w:p w14:paraId="18049126" w14:textId="77777777" w:rsidR="005A5EDA" w:rsidRPr="005A5EDA" w:rsidRDefault="005A5EDA" w:rsidP="001C3CAC">
      <w:pPr>
        <w:numPr>
          <w:ilvl w:val="1"/>
          <w:numId w:val="8"/>
        </w:numPr>
        <w:autoSpaceDE w:val="0"/>
        <w:autoSpaceDN w:val="0"/>
        <w:adjustRightInd w:val="0"/>
        <w:spacing w:after="0"/>
        <w:rPr>
          <w:rFonts w:cs="Arial"/>
        </w:rPr>
      </w:pPr>
      <w:r w:rsidRPr="005A5EDA">
        <w:rPr>
          <w:rFonts w:cs="Arial"/>
        </w:rPr>
        <w:t xml:space="preserve">zakupu infrastruktury, </w:t>
      </w:r>
    </w:p>
    <w:p w14:paraId="02412E15" w14:textId="77777777" w:rsidR="005A5EDA" w:rsidRPr="005A5EDA" w:rsidRDefault="005A5EDA" w:rsidP="001C3CAC">
      <w:pPr>
        <w:numPr>
          <w:ilvl w:val="1"/>
          <w:numId w:val="8"/>
        </w:numPr>
        <w:autoSpaceDE w:val="0"/>
        <w:autoSpaceDN w:val="0"/>
        <w:adjustRightInd w:val="0"/>
        <w:spacing w:after="0"/>
        <w:rPr>
          <w:rFonts w:cs="Arial"/>
        </w:rPr>
      </w:pPr>
      <w:r w:rsidRPr="005A5EDA">
        <w:rPr>
          <w:rFonts w:cs="Arial"/>
        </w:rPr>
        <w:t xml:space="preserve">zakupu mebli, sprzętu i pojazdów, z wyjątkiem sytuacji, gdy: </w:t>
      </w:r>
    </w:p>
    <w:p w14:paraId="199195DA" w14:textId="77777777" w:rsidR="005A5EDA" w:rsidRPr="005A5EDA" w:rsidRDefault="005A5EDA" w:rsidP="001C3CAC">
      <w:pPr>
        <w:spacing w:after="0"/>
        <w:ind w:left="425"/>
        <w:rPr>
          <w:rFonts w:cs="Arial"/>
        </w:rPr>
      </w:pPr>
      <w:r w:rsidRPr="005A5EDA">
        <w:rPr>
          <w:rFonts w:cs="Arial"/>
        </w:rPr>
        <w:t xml:space="preserve">i) zakupy te zostaną zamortyzowane w całości w okresie realizacji projektu, </w:t>
      </w:r>
    </w:p>
    <w:p w14:paraId="012E84D9" w14:textId="77777777" w:rsidR="005A5EDA" w:rsidRPr="005A5EDA" w:rsidRDefault="005A5EDA" w:rsidP="001C3CAC">
      <w:pPr>
        <w:spacing w:after="0"/>
        <w:ind w:left="425"/>
        <w:rPr>
          <w:rFonts w:cs="Arial"/>
        </w:rPr>
      </w:pPr>
      <w:r w:rsidRPr="005A5EDA">
        <w:rPr>
          <w:rFonts w:cs="Arial"/>
        </w:rPr>
        <w:t xml:space="preserve">ii) Beneficjent udowodni, że zakup będzie najbardziej opłacalną opcją, </w:t>
      </w:r>
    </w:p>
    <w:p w14:paraId="70AB293C" w14:textId="77777777" w:rsidR="005A5EDA" w:rsidRPr="005A5EDA" w:rsidRDefault="005A5EDA" w:rsidP="001C3CAC">
      <w:pPr>
        <w:spacing w:after="0"/>
        <w:ind w:left="425"/>
        <w:rPr>
          <w:rFonts w:cs="Arial"/>
        </w:rPr>
      </w:pPr>
      <w:r w:rsidRPr="005A5EDA">
        <w:rPr>
          <w:rFonts w:cs="Arial"/>
        </w:rPr>
        <w:t>iii) zak</w:t>
      </w:r>
      <w:r w:rsidR="00974E2C">
        <w:rPr>
          <w:rFonts w:cs="Arial"/>
        </w:rPr>
        <w:t>upy te są konieczne dla osiągnię</w:t>
      </w:r>
      <w:r w:rsidRPr="005A5EDA">
        <w:rPr>
          <w:rFonts w:cs="Arial"/>
        </w:rPr>
        <w:t xml:space="preserve">cia celów projektu. </w:t>
      </w:r>
    </w:p>
    <w:p w14:paraId="7159C9AC" w14:textId="77777777" w:rsidR="005A5EDA" w:rsidRPr="005A5EDA" w:rsidRDefault="005A5EDA" w:rsidP="001C3CAC">
      <w:pPr>
        <w:spacing w:after="120" w:line="240" w:lineRule="auto"/>
        <w:rPr>
          <w:rFonts w:cs="Arial"/>
        </w:rPr>
      </w:pPr>
    </w:p>
    <w:p w14:paraId="1C9AC000" w14:textId="77777777" w:rsidR="005A5EDA" w:rsidRDefault="005A5EDA" w:rsidP="001C3CAC">
      <w:r w:rsidRPr="005A5EDA">
        <w:t xml:space="preserve">Warunki z </w:t>
      </w:r>
      <w:proofErr w:type="spellStart"/>
      <w:r w:rsidRPr="005A5EDA">
        <w:t>tiretów</w:t>
      </w:r>
      <w:proofErr w:type="spellEnd"/>
      <w:r w:rsidRPr="005A5EDA">
        <w:t xml:space="preserve"> i-iii są rozłączne, co oznacza, że w przypadku spełnienia któregokolwiek z nich, zakup mebli, sprzętu i pojazdów może być kwalifikowalny w ramach EFS+ poza cross-</w:t>
      </w:r>
      <w:proofErr w:type="spellStart"/>
      <w:r w:rsidRPr="005A5EDA">
        <w:t>financingiem</w:t>
      </w:r>
      <w:proofErr w:type="spellEnd"/>
      <w:r w:rsidRPr="005A5EDA">
        <w:t xml:space="preserve">. Zakup mebli, sprzętu i pojazdów niespełniający żadnego z warunków wskazanych w </w:t>
      </w:r>
      <w:proofErr w:type="spellStart"/>
      <w:r w:rsidRPr="005A5EDA">
        <w:t>tirecie</w:t>
      </w:r>
      <w:proofErr w:type="spellEnd"/>
      <w:r w:rsidRPr="005A5EDA">
        <w:t xml:space="preserve"> i-iii stanowi cross-</w:t>
      </w:r>
      <w:proofErr w:type="spellStart"/>
      <w:r w:rsidRPr="005A5EDA">
        <w:t>financing</w:t>
      </w:r>
      <w:proofErr w:type="spellEnd"/>
      <w:r w:rsidRPr="005A5EDA">
        <w:t>.</w:t>
      </w:r>
    </w:p>
    <w:p w14:paraId="77C484DB" w14:textId="0A009BED" w:rsidR="00E958F7" w:rsidRPr="0014574E" w:rsidRDefault="00E958F7" w:rsidP="001C3CAC">
      <w:r>
        <w:t>Szczegółowe informacje w zakresie cross-</w:t>
      </w:r>
      <w:proofErr w:type="spellStart"/>
      <w:r>
        <w:t>financingu</w:t>
      </w:r>
      <w:proofErr w:type="spellEnd"/>
      <w:r>
        <w:t xml:space="preserve"> znajdują się w </w:t>
      </w:r>
      <w:r w:rsidRPr="00E958F7">
        <w:rPr>
          <w:i/>
        </w:rPr>
        <w:t xml:space="preserve">Wytycznych </w:t>
      </w:r>
      <w:r w:rsidR="00974E2C" w:rsidRPr="0014574E">
        <w:rPr>
          <w:i/>
        </w:rPr>
        <w:t>dotyczących kwalifikowalności wydatków na lata 2021-27</w:t>
      </w:r>
      <w:r w:rsidR="0014574E" w:rsidRPr="0014574E">
        <w:rPr>
          <w:i/>
        </w:rPr>
        <w:t xml:space="preserve"> (dalej: Wytycznych </w:t>
      </w:r>
      <w:r w:rsidR="00974E2C" w:rsidRPr="0014574E">
        <w:rPr>
          <w:i/>
        </w:rPr>
        <w:t>kwalifikowalności).</w:t>
      </w:r>
    </w:p>
    <w:p w14:paraId="4929C2FD" w14:textId="77777777" w:rsidR="005A5EDA" w:rsidRPr="005A5EDA" w:rsidRDefault="005A5EDA" w:rsidP="00E33E29">
      <w:pPr>
        <w:pStyle w:val="Podrozdzia-K"/>
        <w:spacing w:line="480" w:lineRule="auto"/>
        <w:ind w:left="340"/>
        <w:jc w:val="left"/>
      </w:pPr>
      <w:bookmarkStart w:id="31" w:name="_Toc134446811"/>
      <w:bookmarkStart w:id="32" w:name="_Toc137810494"/>
      <w:r w:rsidRPr="00940EA3">
        <w:t>Wkład</w:t>
      </w:r>
      <w:r w:rsidRPr="005A5EDA">
        <w:t xml:space="preserve"> własny</w:t>
      </w:r>
      <w:bookmarkEnd w:id="31"/>
      <w:bookmarkEnd w:id="32"/>
    </w:p>
    <w:p w14:paraId="622A4072" w14:textId="77777777" w:rsidR="005A5EDA" w:rsidRPr="005A5EDA" w:rsidRDefault="005A5EDA" w:rsidP="001C3CAC">
      <w:pPr>
        <w:spacing w:after="0"/>
      </w:pPr>
      <w:r w:rsidRPr="005A5EDA">
        <w:t>Wkładem własnym jest wkład Beneficjenta do projektu (pieniężny lub niepieniężny), który nie zostanie Beneficjentowi przekazany w formie dofinansowania.</w:t>
      </w:r>
    </w:p>
    <w:p w14:paraId="09F73BC5" w14:textId="77777777" w:rsidR="005A5EDA" w:rsidRPr="005A5EDA" w:rsidRDefault="005A5EDA" w:rsidP="001C3CAC">
      <w:pPr>
        <w:spacing w:after="0"/>
      </w:pPr>
      <w:r w:rsidRPr="005A5EDA">
        <w:t>Wkład własny Wnioskodawcy jest wykazywany we wniosku o dofinansowanie projektu, przy czym to Wnioskodawca określa formę wniesienia wkładu własnego.</w:t>
      </w:r>
    </w:p>
    <w:p w14:paraId="6CBCACAF" w14:textId="77777777" w:rsidR="005A5EDA" w:rsidRPr="005A5EDA" w:rsidRDefault="005A5EDA" w:rsidP="001C3CAC">
      <w:pPr>
        <w:spacing w:after="0"/>
      </w:pPr>
      <w:r w:rsidRPr="005A5EDA">
        <w:t xml:space="preserve">Do realizacji projektu jest wymagane wniesienie przez Wnioskodawcę wkładu własnego. </w:t>
      </w:r>
    </w:p>
    <w:p w14:paraId="1D39B7A7" w14:textId="77777777" w:rsidR="005A5EDA" w:rsidRPr="005A5EDA" w:rsidRDefault="005A5EDA" w:rsidP="001C3CAC">
      <w:pPr>
        <w:spacing w:after="0"/>
      </w:pPr>
      <w:r w:rsidRPr="005A5EDA">
        <w:t xml:space="preserve">Źródłem finansowania wkładu własnego mogą być zarówno środki publiczne jak i prywatne. </w:t>
      </w:r>
      <w:r w:rsidR="001114A6">
        <w:br/>
      </w:r>
      <w:r w:rsidRPr="005A5EDA">
        <w:t xml:space="preserve">O zakwalifikowaniu źródła pochodzenia wkładu własnego decyduje status prawny podmiotu wnoszącego wkład, tj. Beneficjenta/Partnera/strony trzeciej lub uczestnika. Wkład własny </w:t>
      </w:r>
      <w:r w:rsidRPr="005A5EDA">
        <w:lastRenderedPageBreak/>
        <w:t>może pochodzić m.in. z budżetu JST, budżetu państwa, Funduszu Pracy, środków prywatnych, środków PFRON.</w:t>
      </w:r>
    </w:p>
    <w:p w14:paraId="4A4741BB" w14:textId="77777777" w:rsidR="005A5EDA" w:rsidRPr="00DE2FAF" w:rsidRDefault="005A5EDA" w:rsidP="001C3CAC">
      <w:pPr>
        <w:spacing w:after="0"/>
      </w:pPr>
      <w:r w:rsidRPr="00DE2FAF">
        <w:t>Wkład własny lub jego część może być wniesiony w ramach kosztów pośrednich jak i bezpośrednich.</w:t>
      </w:r>
    </w:p>
    <w:p w14:paraId="2AB18863" w14:textId="77777777" w:rsidR="005A5EDA" w:rsidRPr="00DE2FAF" w:rsidRDefault="005A5EDA" w:rsidP="001C3CAC">
      <w:pPr>
        <w:spacing w:after="0"/>
      </w:pPr>
      <w:r w:rsidRPr="00DE2FAF">
        <w:t>Wkład własny wnoszony w ramach kosztów pośrednich należy traktować jako wkład pieniężny.</w:t>
      </w:r>
    </w:p>
    <w:p w14:paraId="77CA158E" w14:textId="77777777" w:rsidR="005A5EDA" w:rsidRPr="00DE2FAF" w:rsidRDefault="005A5EDA" w:rsidP="001C3CAC">
      <w:pPr>
        <w:spacing w:after="0"/>
      </w:pPr>
      <w:r w:rsidRPr="00DE2FAF">
        <w:t xml:space="preserve">W przypadku niewniesienia wkładu własnego w procencie określonym w </w:t>
      </w:r>
      <w:bookmarkStart w:id="33" w:name="_Hlk137805914"/>
      <w:r w:rsidR="00DE2FAF" w:rsidRPr="00DE2FAF">
        <w:t>Z</w:t>
      </w:r>
      <w:r w:rsidR="003F10A6" w:rsidRPr="00DE2FAF">
        <w:t>a</w:t>
      </w:r>
      <w:r w:rsidR="00DE2FAF" w:rsidRPr="00DE2FAF">
        <w:t>sadach realizacji projektu</w:t>
      </w:r>
      <w:bookmarkEnd w:id="33"/>
      <w:r w:rsidRPr="00DE2FAF">
        <w:t xml:space="preserve">, IZ pomniejsza kwotę przyznanego dofinansowania, o której mowa w </w:t>
      </w:r>
      <w:r w:rsidR="00DE2FAF" w:rsidRPr="00DE2FAF">
        <w:t>Zasadach realizacji projektu</w:t>
      </w:r>
      <w:r w:rsidRPr="00DE2FAF">
        <w:t xml:space="preserve"> proporcjonalnie, z zachowaniem udziału procentowego określonego </w:t>
      </w:r>
      <w:r w:rsidR="00F53A30">
        <w:br/>
      </w:r>
      <w:r w:rsidRPr="00DE2FAF">
        <w:t xml:space="preserve">w </w:t>
      </w:r>
      <w:r w:rsidR="00DE2FAF" w:rsidRPr="00DE2FAF">
        <w:t>Zasadach realizacji projektu</w:t>
      </w:r>
      <w:r w:rsidRPr="00DE2FAF">
        <w:t xml:space="preserve">. </w:t>
      </w:r>
    </w:p>
    <w:p w14:paraId="1EA9CF64" w14:textId="77777777" w:rsidR="001608DB" w:rsidRPr="00DE2FAF" w:rsidRDefault="005A5EDA" w:rsidP="001608DB">
      <w:pPr>
        <w:spacing w:after="120"/>
      </w:pPr>
      <w:r w:rsidRPr="00DE2FAF">
        <w:t>Wkład własny, który zostanie rozliczony w w</w:t>
      </w:r>
      <w:r w:rsidR="00993BF8" w:rsidRPr="00DE2FAF">
        <w:t>artości</w:t>
      </w:r>
      <w:r w:rsidRPr="00DE2FAF">
        <w:t xml:space="preserve"> przekraczającej wykazaną w </w:t>
      </w:r>
      <w:r w:rsidR="00DE2FAF" w:rsidRPr="00DE2FAF">
        <w:t xml:space="preserve">Zasadach realizacji projektu </w:t>
      </w:r>
      <w:r w:rsidRPr="00DE2FAF">
        <w:t>wartość może zostać uznany za niekwalifikowalny.</w:t>
      </w:r>
    </w:p>
    <w:p w14:paraId="7385EAE5" w14:textId="77777777" w:rsidR="00D3622A" w:rsidRPr="00EA16F1" w:rsidRDefault="00D3622A" w:rsidP="001C3CAC">
      <w:r>
        <w:t xml:space="preserve">Szczegółowe informacje dot. wkładu własnego znajdują się w </w:t>
      </w:r>
      <w:r w:rsidRPr="00E958F7">
        <w:rPr>
          <w:i/>
        </w:rPr>
        <w:t>Wytycznych kwalifikowalności</w:t>
      </w:r>
      <w:r w:rsidR="00EA16F1">
        <w:t>.</w:t>
      </w:r>
    </w:p>
    <w:p w14:paraId="73913C8A" w14:textId="77777777" w:rsidR="005A5EDA" w:rsidRPr="005A5EDA" w:rsidRDefault="005A5EDA" w:rsidP="00E33E29">
      <w:pPr>
        <w:pStyle w:val="Podrozdzia-K"/>
        <w:spacing w:line="480" w:lineRule="auto"/>
        <w:ind w:left="340"/>
        <w:jc w:val="left"/>
      </w:pPr>
      <w:bookmarkStart w:id="34" w:name="_Toc134446812"/>
      <w:bookmarkStart w:id="35" w:name="_Toc137810495"/>
      <w:r w:rsidRPr="00940EA3">
        <w:t>Personel</w:t>
      </w:r>
      <w:r w:rsidRPr="005A5EDA">
        <w:t xml:space="preserve"> projektu</w:t>
      </w:r>
      <w:bookmarkEnd w:id="34"/>
      <w:bookmarkEnd w:id="35"/>
    </w:p>
    <w:p w14:paraId="25CC62F6" w14:textId="77777777" w:rsidR="005A5EDA" w:rsidRPr="005A5EDA" w:rsidRDefault="005A5EDA" w:rsidP="001C3CAC">
      <w:pPr>
        <w:spacing w:after="0"/>
        <w:rPr>
          <w:bCs/>
        </w:rPr>
      </w:pPr>
      <w:r w:rsidRPr="005A5EDA">
        <w:rPr>
          <w:bCs/>
        </w:rPr>
        <w:t xml:space="preserve">Szczegółowe zasady angażowania personelu projektu oraz katalogu wydatków kwalifikowalnych w ramach wynagrodzenia personelu projektu określa podrozdział 3.8 </w:t>
      </w:r>
      <w:r w:rsidRPr="005A5EDA">
        <w:rPr>
          <w:bCs/>
          <w:i/>
          <w:iCs/>
        </w:rPr>
        <w:t>Wytycznych kwalifikowalności</w:t>
      </w:r>
      <w:r w:rsidRPr="005A5EDA">
        <w:rPr>
          <w:bCs/>
        </w:rPr>
        <w:t>. Podstawowe zasady kwalifikowania kosztów personelu w projekcie:</w:t>
      </w:r>
    </w:p>
    <w:p w14:paraId="2CFD2F57" w14:textId="77777777" w:rsidR="005A5EDA" w:rsidRPr="005A5EDA" w:rsidRDefault="005A5EDA" w:rsidP="001C3CAC">
      <w:pPr>
        <w:numPr>
          <w:ilvl w:val="0"/>
          <w:numId w:val="13"/>
        </w:numPr>
        <w:spacing w:after="0"/>
        <w:rPr>
          <w:bCs/>
        </w:rPr>
      </w:pPr>
      <w:r w:rsidRPr="005A5EDA">
        <w:rPr>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zwanej dalej: „ustawą o działalności pożytku publicznego i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080DEA63" w14:textId="77777777" w:rsidR="005A5EDA" w:rsidRPr="005A5EDA" w:rsidRDefault="005A5EDA" w:rsidP="001C3CAC">
      <w:pPr>
        <w:numPr>
          <w:ilvl w:val="0"/>
          <w:numId w:val="12"/>
        </w:numPr>
        <w:spacing w:after="0"/>
        <w:rPr>
          <w:bCs/>
        </w:rPr>
      </w:pPr>
      <w:r w:rsidRPr="005A5EDA">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18E579E9" w14:textId="77777777" w:rsidR="005A5EDA" w:rsidRPr="005A5EDA" w:rsidRDefault="005A5EDA" w:rsidP="001C3CAC">
      <w:pPr>
        <w:numPr>
          <w:ilvl w:val="0"/>
          <w:numId w:val="12"/>
        </w:numPr>
        <w:spacing w:after="0"/>
        <w:rPr>
          <w:bCs/>
        </w:rPr>
      </w:pPr>
      <w:r w:rsidRPr="005A5EDA">
        <w:rPr>
          <w:bCs/>
        </w:rPr>
        <w:t xml:space="preserve">Wydatki związane z wynagrodzeniem personelu projektu są ponoszone zgodnie z przepisami krajowymi, w szczególności zgodnie z ustawą z dnia 26 czerwca 1974 r. Kodeks pracy. </w:t>
      </w:r>
    </w:p>
    <w:p w14:paraId="36829DFC" w14:textId="77777777" w:rsidR="005A5EDA" w:rsidRPr="005A5EDA" w:rsidRDefault="005A5EDA" w:rsidP="001C3CAC">
      <w:pPr>
        <w:numPr>
          <w:ilvl w:val="0"/>
          <w:numId w:val="12"/>
        </w:numPr>
        <w:spacing w:after="0"/>
        <w:rPr>
          <w:bCs/>
        </w:rPr>
      </w:pPr>
      <w:r w:rsidRPr="005A5EDA">
        <w:rPr>
          <w:bCs/>
        </w:rPr>
        <w:lastRenderedPageBreak/>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4BF3AB2E" w14:textId="77777777" w:rsidR="005A5EDA" w:rsidRPr="005A5EDA" w:rsidRDefault="005A5EDA" w:rsidP="001C3CAC">
      <w:pPr>
        <w:numPr>
          <w:ilvl w:val="0"/>
          <w:numId w:val="12"/>
        </w:numPr>
        <w:spacing w:after="0"/>
        <w:rPr>
          <w:bCs/>
        </w:rPr>
      </w:pPr>
      <w:r w:rsidRPr="005A5EDA">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5DFAED5C" w14:textId="77777777" w:rsidR="005A5EDA" w:rsidRDefault="005A5EDA" w:rsidP="001C3CAC">
      <w:pPr>
        <w:numPr>
          <w:ilvl w:val="0"/>
          <w:numId w:val="12"/>
        </w:numPr>
        <w:spacing w:after="0"/>
        <w:rPr>
          <w:bCs/>
        </w:rPr>
      </w:pPr>
      <w:r w:rsidRPr="005A5EDA">
        <w:rPr>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7E70C09A" w14:textId="77777777" w:rsidR="00EA16F1" w:rsidRPr="005A5EDA" w:rsidRDefault="00EA16F1" w:rsidP="001C3CAC">
      <w:pPr>
        <w:spacing w:after="0"/>
        <w:ind w:left="720"/>
        <w:rPr>
          <w:bCs/>
        </w:rPr>
      </w:pPr>
    </w:p>
    <w:p w14:paraId="4699E083" w14:textId="77777777" w:rsidR="00D3622A" w:rsidRPr="00D320E7" w:rsidRDefault="005A5EDA" w:rsidP="001C3CAC">
      <w:pPr>
        <w:spacing w:after="0"/>
        <w:rPr>
          <w:bCs/>
        </w:rPr>
      </w:pPr>
      <w:r w:rsidRPr="005A5EDA">
        <w:rPr>
          <w:rFonts w:eastAsia="Calibri" w:cs="Arial"/>
          <w:b/>
          <w:color w:val="2F5496"/>
        </w:rPr>
        <w:t xml:space="preserve">UWAGA! </w:t>
      </w:r>
      <w:r w:rsidRPr="005A5EDA">
        <w:rPr>
          <w:bCs/>
        </w:rPr>
        <w:t>Uregulowania dotyczące angażowania personelu nie mają zastosowania do personelu projektu zaangażowanego w ramach działań/zadań rozliczanych na po</w:t>
      </w:r>
      <w:r w:rsidR="00D3622A">
        <w:rPr>
          <w:bCs/>
        </w:rPr>
        <w:t>dstawie</w:t>
      </w:r>
      <w:r w:rsidRPr="005A5EDA">
        <w:rPr>
          <w:bCs/>
        </w:rPr>
        <w:t xml:space="preserve"> kosztów pośrednich. </w:t>
      </w:r>
    </w:p>
    <w:p w14:paraId="1846D224" w14:textId="77777777" w:rsidR="00EA16F1" w:rsidRPr="00EA16F1" w:rsidRDefault="005A5EDA" w:rsidP="00E33E29">
      <w:pPr>
        <w:pStyle w:val="Podrozdzia-K"/>
        <w:spacing w:line="480" w:lineRule="auto"/>
        <w:ind w:left="340"/>
        <w:jc w:val="left"/>
      </w:pPr>
      <w:bookmarkStart w:id="36" w:name="_Toc134446813"/>
      <w:bookmarkStart w:id="37" w:name="_Toc137810496"/>
      <w:r w:rsidRPr="00940EA3">
        <w:t>Pomoc</w:t>
      </w:r>
      <w:r w:rsidRPr="005E237D">
        <w:t xml:space="preserve"> publiczna, pomoc de </w:t>
      </w:r>
      <w:proofErr w:type="spellStart"/>
      <w:r w:rsidRPr="005E237D">
        <w:t>minimis</w:t>
      </w:r>
      <w:bookmarkEnd w:id="36"/>
      <w:bookmarkEnd w:id="37"/>
      <w:proofErr w:type="spellEnd"/>
      <w:r w:rsidR="0006273C">
        <w:t xml:space="preserve"> </w:t>
      </w:r>
    </w:p>
    <w:p w14:paraId="6FF86CAB" w14:textId="77777777" w:rsidR="005A5EDA" w:rsidRPr="005A5EDA" w:rsidRDefault="002E1945" w:rsidP="001C3CAC">
      <w:pPr>
        <w:autoSpaceDE w:val="0"/>
        <w:autoSpaceDN w:val="0"/>
        <w:adjustRightInd w:val="0"/>
        <w:spacing w:after="120"/>
      </w:pPr>
      <w:r>
        <w:rPr>
          <w:rFonts w:cs="Arial"/>
        </w:rPr>
        <w:t xml:space="preserve">1. </w:t>
      </w:r>
      <w:r w:rsidR="005A5EDA" w:rsidRPr="005A5EDA">
        <w:rPr>
          <w:rFonts w:cs="Arial"/>
        </w:rPr>
        <w:t xml:space="preserve">Wystąpienie przesłanek do udzielania pomocy de </w:t>
      </w:r>
      <w:proofErr w:type="spellStart"/>
      <w:r w:rsidR="005A5EDA" w:rsidRPr="005A5EDA">
        <w:rPr>
          <w:rFonts w:cs="Arial"/>
        </w:rPr>
        <w:t>minimis</w:t>
      </w:r>
      <w:proofErr w:type="spellEnd"/>
      <w:r w:rsidR="005A5EDA" w:rsidRPr="005A5EDA">
        <w:rPr>
          <w:rFonts w:cs="Arial"/>
        </w:rPr>
        <w:t xml:space="preserve"> weryfikowane jest na</w:t>
      </w:r>
      <w:r w:rsidR="005A5EDA" w:rsidRPr="005A5EDA">
        <w:t> </w:t>
      </w:r>
      <w:r w:rsidR="005A5EDA" w:rsidRPr="005A5EDA">
        <w:rPr>
          <w:rFonts w:cs="Arial"/>
        </w:rPr>
        <w:t>etapie oceny formalno-merytorycznej na podstawie zapisów we wniosku o</w:t>
      </w:r>
      <w:r w:rsidR="005A5EDA" w:rsidRPr="005A5EDA">
        <w:t> </w:t>
      </w:r>
      <w:r w:rsidR="005A5EDA" w:rsidRPr="005A5EDA">
        <w:rPr>
          <w:rFonts w:cs="Arial"/>
        </w:rPr>
        <w:t>dofinansowanie.</w:t>
      </w:r>
    </w:p>
    <w:p w14:paraId="3351439E" w14:textId="4554FDBB" w:rsidR="00974E2C" w:rsidRDefault="002E1945" w:rsidP="001C3CAC">
      <w:pPr>
        <w:autoSpaceDE w:val="0"/>
        <w:autoSpaceDN w:val="0"/>
        <w:adjustRightInd w:val="0"/>
        <w:spacing w:after="120"/>
        <w:rPr>
          <w:rFonts w:cs="Arial"/>
        </w:rPr>
      </w:pPr>
      <w:r>
        <w:rPr>
          <w:rFonts w:cs="Arial"/>
        </w:rPr>
        <w:t xml:space="preserve">2. </w:t>
      </w:r>
      <w:r w:rsidR="005A5EDA" w:rsidRPr="005A5EDA">
        <w:rPr>
          <w:rFonts w:cs="Arial"/>
        </w:rPr>
        <w:t xml:space="preserve">Szczegółowe warunki i tryb udzielania pomocy de </w:t>
      </w:r>
      <w:proofErr w:type="spellStart"/>
      <w:r w:rsidR="005A5EDA" w:rsidRPr="005A5EDA">
        <w:rPr>
          <w:rFonts w:cs="Arial"/>
        </w:rPr>
        <w:t>minimis</w:t>
      </w:r>
      <w:proofErr w:type="spellEnd"/>
      <w:r w:rsidR="005A5EDA" w:rsidRPr="005A5EDA">
        <w:rPr>
          <w:rFonts w:cs="Arial"/>
        </w:rPr>
        <w:t xml:space="preserve"> zostały określone w</w:t>
      </w:r>
      <w:r w:rsidR="005A5EDA" w:rsidRPr="005A5EDA">
        <w:t> </w:t>
      </w:r>
      <w:r w:rsidR="005A5EDA" w:rsidRPr="005A5EDA">
        <w:rPr>
          <w:rFonts w:cs="Arial"/>
        </w:rPr>
        <w:t>Rozporządzeniu Ministra Funduszy i Polityki Regionalnej z dnia 20 grudnia 2022 r.</w:t>
      </w:r>
      <w:r w:rsidR="005A5EDA" w:rsidRPr="005A5EDA">
        <w:t xml:space="preserve"> </w:t>
      </w:r>
      <w:r w:rsidR="005A5EDA" w:rsidRPr="005A5EDA">
        <w:rPr>
          <w:rFonts w:cs="Arial"/>
        </w:rPr>
        <w:t xml:space="preserve">w sprawie udzielania pomocy de </w:t>
      </w:r>
      <w:proofErr w:type="spellStart"/>
      <w:r w:rsidR="005A5EDA" w:rsidRPr="005A5EDA">
        <w:rPr>
          <w:rFonts w:cs="Arial"/>
        </w:rPr>
        <w:t>minimis</w:t>
      </w:r>
      <w:proofErr w:type="spellEnd"/>
      <w:r w:rsidR="005A5EDA" w:rsidRPr="005A5EDA">
        <w:rPr>
          <w:rFonts w:cs="Arial"/>
        </w:rPr>
        <w:t xml:space="preserve"> oraz pomocy publicznej w ramach</w:t>
      </w:r>
      <w:r w:rsidR="005A5EDA" w:rsidRPr="005A5EDA">
        <w:t xml:space="preserve"> </w:t>
      </w:r>
      <w:r w:rsidR="005A5EDA" w:rsidRPr="005A5EDA">
        <w:rPr>
          <w:rFonts w:cs="Arial"/>
        </w:rPr>
        <w:t>programów finansowanych z Europejskiego Funduszu Społecznego Plus (EFS+)</w:t>
      </w:r>
      <w:r w:rsidR="005A5EDA" w:rsidRPr="005A5EDA">
        <w:t xml:space="preserve"> </w:t>
      </w:r>
      <w:r w:rsidR="005A5EDA" w:rsidRPr="005A5EDA">
        <w:rPr>
          <w:rFonts w:cs="Arial"/>
        </w:rPr>
        <w:t>na lata 2021-2027.</w:t>
      </w:r>
    </w:p>
    <w:p w14:paraId="6896D881" w14:textId="7DFCCA71" w:rsidR="007D2F48" w:rsidRDefault="007D2F48" w:rsidP="001C3CAC">
      <w:pPr>
        <w:autoSpaceDE w:val="0"/>
        <w:autoSpaceDN w:val="0"/>
        <w:adjustRightInd w:val="0"/>
        <w:spacing w:after="120"/>
        <w:rPr>
          <w:rFonts w:cs="Arial"/>
        </w:rPr>
      </w:pPr>
    </w:p>
    <w:p w14:paraId="65EF3B5F" w14:textId="77777777" w:rsidR="007D2F48" w:rsidRPr="005A5EDA" w:rsidRDefault="007D2F48" w:rsidP="001C3CAC">
      <w:pPr>
        <w:autoSpaceDE w:val="0"/>
        <w:autoSpaceDN w:val="0"/>
        <w:adjustRightInd w:val="0"/>
        <w:spacing w:after="120"/>
        <w:rPr>
          <w:rFonts w:cs="Arial"/>
        </w:rPr>
      </w:pPr>
    </w:p>
    <w:p w14:paraId="4F9BE355" w14:textId="77777777" w:rsidR="005A5EDA" w:rsidRPr="000167A5" w:rsidRDefault="005A5EDA" w:rsidP="00E33E29">
      <w:pPr>
        <w:pStyle w:val="Podrozdzia-K"/>
        <w:spacing w:line="480" w:lineRule="auto"/>
        <w:ind w:left="340"/>
        <w:jc w:val="left"/>
      </w:pPr>
      <w:bookmarkStart w:id="38" w:name="_Toc134446814"/>
      <w:bookmarkStart w:id="39" w:name="_Toc137810497"/>
      <w:r w:rsidRPr="00940EA3">
        <w:lastRenderedPageBreak/>
        <w:t>VAT</w:t>
      </w:r>
      <w:bookmarkEnd w:id="38"/>
      <w:bookmarkEnd w:id="39"/>
      <w:r w:rsidRPr="000167A5">
        <w:tab/>
      </w:r>
    </w:p>
    <w:p w14:paraId="2A6D130A" w14:textId="0DDA0369" w:rsidR="0024183D" w:rsidRPr="005A5EDA" w:rsidRDefault="005A5EDA" w:rsidP="001C3CAC">
      <w:r w:rsidRPr="00D3622A">
        <w:t>Podatek VAT w projekcie, którego łączny koszt jest mniejszy niż 5 mln EUR (włącza</w:t>
      </w:r>
      <w:r w:rsidR="00D3622A">
        <w:t>jąc VAT)</w:t>
      </w:r>
      <w:r w:rsidR="00762C66">
        <w:t xml:space="preserve">, </w:t>
      </w:r>
      <w:r w:rsidRPr="005A5EDA">
        <w:t xml:space="preserve">może być kwalifikowalny, gdy brak jest prawnej możliwości odzyskania podatku VAT zgodnie z przepisami prawa krajowego. Załącznikiem </w:t>
      </w:r>
      <w:r w:rsidRPr="0006273C">
        <w:t xml:space="preserve">do </w:t>
      </w:r>
      <w:r w:rsidR="0024183D" w:rsidRPr="0006273C">
        <w:t>Zasad realizacji projektu</w:t>
      </w:r>
      <w:r w:rsidR="0024183D">
        <w:t xml:space="preserve"> </w:t>
      </w:r>
      <w:r w:rsidRPr="005A5EDA">
        <w:t>jest oświadczenie o kwalifikowalności VAT w okresie realizacji projektu, jak i po jego zakończeniu.</w:t>
      </w:r>
    </w:p>
    <w:p w14:paraId="35803456" w14:textId="77777777" w:rsidR="005A5EDA" w:rsidRPr="005A5EDA" w:rsidRDefault="005A5EDA" w:rsidP="00E33E29">
      <w:pPr>
        <w:pStyle w:val="Podrozdzia-K"/>
        <w:spacing w:line="480" w:lineRule="auto"/>
        <w:ind w:left="340"/>
        <w:jc w:val="left"/>
      </w:pPr>
      <w:bookmarkStart w:id="40" w:name="_Toc134446815"/>
      <w:bookmarkStart w:id="41" w:name="_Toc137810498"/>
      <w:bookmarkStart w:id="42" w:name="podr_3_7"/>
      <w:r w:rsidRPr="00940EA3">
        <w:t>Koszty</w:t>
      </w:r>
      <w:r w:rsidRPr="005A5EDA">
        <w:t xml:space="preserve"> pośrednie</w:t>
      </w:r>
      <w:bookmarkEnd w:id="40"/>
      <w:bookmarkEnd w:id="41"/>
      <w:r w:rsidR="00E625A0">
        <w:t xml:space="preserve"> </w:t>
      </w:r>
    </w:p>
    <w:bookmarkEnd w:id="42"/>
    <w:p w14:paraId="12648895" w14:textId="77777777" w:rsidR="005A5EDA" w:rsidRPr="005A5EDA" w:rsidRDefault="005A5EDA" w:rsidP="001C3CAC">
      <w:pPr>
        <w:spacing w:after="120"/>
        <w:contextualSpacing/>
        <w:rPr>
          <w:rFonts w:cstheme="minorHAnsi"/>
          <w:bCs/>
        </w:rPr>
      </w:pPr>
      <w:r w:rsidRPr="005A5EDA">
        <w:rPr>
          <w:rFonts w:cstheme="minorHAnsi"/>
          <w:bCs/>
        </w:rPr>
        <w:t xml:space="preserve">Koszty pośrednie projektu są kwalifikowalne w ramach naboru i stanowią </w:t>
      </w:r>
      <w:r w:rsidR="003D2346" w:rsidRPr="00F4417C">
        <w:rPr>
          <w:rFonts w:cstheme="minorHAnsi"/>
          <w:b/>
        </w:rPr>
        <w:t>10%</w:t>
      </w:r>
      <w:r w:rsidR="003D2346" w:rsidRPr="005A5EDA">
        <w:rPr>
          <w:rFonts w:cstheme="minorHAnsi"/>
        </w:rPr>
        <w:t xml:space="preserve"> </w:t>
      </w:r>
      <w:r w:rsidR="003D2346">
        <w:rPr>
          <w:rFonts w:cstheme="minorHAnsi"/>
        </w:rPr>
        <w:t xml:space="preserve">wartości </w:t>
      </w:r>
      <w:r w:rsidR="003D2346" w:rsidRPr="005A5EDA">
        <w:rPr>
          <w:rFonts w:cstheme="minorHAnsi"/>
        </w:rPr>
        <w:t>kosztów bezpośrednich</w:t>
      </w:r>
      <w:r w:rsidR="003D2346">
        <w:rPr>
          <w:rFonts w:cstheme="minorHAnsi"/>
        </w:rPr>
        <w:t>. Koszty pośrednie</w:t>
      </w:r>
      <w:r w:rsidR="003D2346" w:rsidRPr="005A5EDA">
        <w:rPr>
          <w:rFonts w:cstheme="minorHAnsi"/>
        </w:rPr>
        <w:t xml:space="preserve"> </w:t>
      </w:r>
      <w:r w:rsidR="003D2346">
        <w:rPr>
          <w:rFonts w:cstheme="minorHAnsi"/>
        </w:rPr>
        <w:t xml:space="preserve">stanowią </w:t>
      </w:r>
      <w:r w:rsidRPr="005A5EDA">
        <w:rPr>
          <w:rFonts w:cstheme="minorHAnsi"/>
          <w:bCs/>
        </w:rPr>
        <w:t xml:space="preserve">koszty administracyjne związane </w:t>
      </w:r>
      <w:r w:rsidR="00F53A30">
        <w:rPr>
          <w:rFonts w:cstheme="minorHAnsi"/>
          <w:bCs/>
        </w:rPr>
        <w:br/>
      </w:r>
      <w:r w:rsidRPr="005A5EDA">
        <w:rPr>
          <w:rFonts w:cstheme="minorHAnsi"/>
          <w:bCs/>
        </w:rPr>
        <w:t>z technicz</w:t>
      </w:r>
      <w:r w:rsidR="003D2346">
        <w:rPr>
          <w:rFonts w:cstheme="minorHAnsi"/>
          <w:bCs/>
        </w:rPr>
        <w:t>ną obsługą realizacji projektu.</w:t>
      </w:r>
    </w:p>
    <w:p w14:paraId="35D87E97" w14:textId="77777777" w:rsidR="005A5EDA" w:rsidRPr="005A5EDA" w:rsidRDefault="005A5EDA" w:rsidP="001C3CAC">
      <w:pPr>
        <w:spacing w:after="120"/>
        <w:rPr>
          <w:rFonts w:cstheme="minorHAnsi"/>
          <w:bCs/>
        </w:rPr>
      </w:pPr>
      <w:r w:rsidRPr="005A5EDA">
        <w:rPr>
          <w:rFonts w:cstheme="minorHAnsi"/>
          <w:bCs/>
        </w:rPr>
        <w:t xml:space="preserve">Katalog kosztów pośrednich został wskazany w podrozdziale 3.12. </w:t>
      </w:r>
      <w:r w:rsidRPr="005A5EDA">
        <w:rPr>
          <w:rFonts w:cstheme="minorHAnsi"/>
          <w:bCs/>
          <w:i/>
          <w:iCs/>
        </w:rPr>
        <w:t>Wytycznych kwalifikowalności</w:t>
      </w:r>
      <w:r w:rsidRPr="005A5EDA">
        <w:rPr>
          <w:rFonts w:cstheme="minorHAnsi"/>
          <w:bCs/>
        </w:rPr>
        <w:t xml:space="preserve"> i obejmuje następujące koszty (wydatki z tego katalogu nie mogą zostać rozliczone w ramach kosztów bezpośrednich):</w:t>
      </w:r>
    </w:p>
    <w:p w14:paraId="4D7D451D"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59D156B4"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 xml:space="preserve">koszty zarządu (koszty wynagrodzenia osób uprawnionych do reprezentowania jednostki, których zakresy czynności nie są przypisane wyłącznie do projektu, np. kierownik jednostki), </w:t>
      </w:r>
    </w:p>
    <w:p w14:paraId="4EF82A2E"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koszty personelu obsługowego (obsługa kadrowa, finansowa, administracyjna, sekretariat, kancelaria, obsługa prawna, w tym ta dotycząca zamówień) na potrzeby funkcjonowania jednostki,</w:t>
      </w:r>
    </w:p>
    <w:p w14:paraId="21770B0B"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koszty obsługi księgowej (wynagrodzenia osób księgujących wydatki w projekcie, w tym zlecenia prowadzenia obsługi księgowej projektu biuru rachunkowemu),</w:t>
      </w:r>
    </w:p>
    <w:p w14:paraId="6EEF60C9"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 xml:space="preserve">koszty utrzymania powierzchni biurowych (czynsz, najem, opłaty administracyjne) związanych z obsługą administracyjną projektu, </w:t>
      </w:r>
    </w:p>
    <w:p w14:paraId="7060FD45"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wydatki związane z otworzeniem lub prowadzeniem wyodrębnionego na rzecz projektu subkonta na rachunku płatniczym lub odrębnego rachunku płatniczego,</w:t>
      </w:r>
    </w:p>
    <w:p w14:paraId="53E142D1"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03CD246C"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lastRenderedPageBreak/>
        <w:t>amortyzacja, najem lub zakup aktywów (środków trwałych i wartości niematerialnych i prawnych) używanych na potrzeby osób, o których mowa w lit. a - d,</w:t>
      </w:r>
    </w:p>
    <w:p w14:paraId="6FFAE433"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opłaty za energię elektryczną, cieplną, gazową i wodę, opłaty przesyłowe, opłaty za sprzątanie, ochronę, opłaty za odprowadzanie ścieków w zakresie związanym z obsługą administracyjną projektu,</w:t>
      </w:r>
    </w:p>
    <w:p w14:paraId="071175BC"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koszty usług pocztowych, telefonicznych, internetowych, kurierskich związanych z obsługą administracyjną projektu,</w:t>
      </w:r>
    </w:p>
    <w:p w14:paraId="43DE74DA"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koszty biurowe związane z obsługą administracyjną projektu (np. zakup materiałów biurowych i artykułów piśmienniczych, koszty usług powielania dokumentów),</w:t>
      </w:r>
    </w:p>
    <w:p w14:paraId="4835BAF1" w14:textId="77777777" w:rsidR="005A5EDA" w:rsidRPr="005A5EDA" w:rsidRDefault="005A5EDA" w:rsidP="001C3CAC">
      <w:pPr>
        <w:numPr>
          <w:ilvl w:val="0"/>
          <w:numId w:val="14"/>
        </w:numPr>
        <w:spacing w:after="120"/>
        <w:ind w:left="567"/>
        <w:contextualSpacing/>
        <w:rPr>
          <w:rFonts w:cstheme="minorHAnsi"/>
          <w:bCs/>
        </w:rPr>
      </w:pPr>
      <w:r w:rsidRPr="005A5EDA">
        <w:rPr>
          <w:rFonts w:cstheme="minorHAnsi"/>
          <w:bCs/>
        </w:rPr>
        <w:t xml:space="preserve">koszty zabezpieczenia prawidłowej realizacji </w:t>
      </w:r>
      <w:r w:rsidRPr="00D3622A">
        <w:rPr>
          <w:rFonts w:cstheme="minorHAnsi"/>
          <w:bCs/>
        </w:rPr>
        <w:t>umowy</w:t>
      </w:r>
      <w:r w:rsidRPr="005A5EDA">
        <w:rPr>
          <w:rFonts w:cstheme="minorHAnsi"/>
          <w:bCs/>
        </w:rPr>
        <w:t>,</w:t>
      </w:r>
    </w:p>
    <w:p w14:paraId="6435C5CF" w14:textId="5D9FEB19" w:rsidR="005A5EDA" w:rsidRDefault="005A5EDA" w:rsidP="00CC6C3B">
      <w:pPr>
        <w:numPr>
          <w:ilvl w:val="0"/>
          <w:numId w:val="14"/>
        </w:numPr>
        <w:spacing w:after="120"/>
        <w:ind w:left="567"/>
        <w:contextualSpacing/>
        <w:rPr>
          <w:rFonts w:cstheme="minorHAnsi"/>
          <w:bCs/>
        </w:rPr>
      </w:pPr>
      <w:r w:rsidRPr="005A5EDA">
        <w:rPr>
          <w:rFonts w:cstheme="minorHAnsi"/>
          <w:bCs/>
        </w:rPr>
        <w:t>koszty ubezpieczeń majątkowych.</w:t>
      </w:r>
    </w:p>
    <w:p w14:paraId="5B0B03E9" w14:textId="77777777" w:rsidR="00CC6C3B" w:rsidRPr="00CC6C3B" w:rsidRDefault="00CC6C3B" w:rsidP="00CC6C3B">
      <w:pPr>
        <w:spacing w:after="120"/>
        <w:ind w:left="567"/>
        <w:contextualSpacing/>
        <w:rPr>
          <w:rFonts w:cstheme="minorHAnsi"/>
          <w:bCs/>
        </w:rPr>
      </w:pPr>
    </w:p>
    <w:p w14:paraId="7DF2713C" w14:textId="77777777" w:rsidR="005A5EDA" w:rsidRPr="005A5EDA" w:rsidRDefault="005A5EDA" w:rsidP="001C3CAC">
      <w:pPr>
        <w:spacing w:after="120"/>
        <w:rPr>
          <w:rFonts w:cstheme="minorHAnsi"/>
          <w:bCs/>
        </w:rPr>
      </w:pPr>
      <w:r w:rsidRPr="005A5EDA">
        <w:rPr>
          <w:rFonts w:cstheme="minorHAnsi"/>
          <w:bCs/>
        </w:rPr>
        <w:t>W ramach kosztów pośrednich nie są wykazywane wydatki objęte cross-</w:t>
      </w:r>
      <w:proofErr w:type="spellStart"/>
      <w:r w:rsidRPr="005A5EDA">
        <w:rPr>
          <w:rFonts w:cstheme="minorHAnsi"/>
          <w:bCs/>
        </w:rPr>
        <w:t>financingiem</w:t>
      </w:r>
      <w:proofErr w:type="spellEnd"/>
      <w:r w:rsidRPr="005A5EDA">
        <w:rPr>
          <w:rFonts w:cstheme="minorHAnsi"/>
          <w:bCs/>
        </w:rPr>
        <w:t>.</w:t>
      </w:r>
    </w:p>
    <w:p w14:paraId="58EEFF3C" w14:textId="77777777" w:rsidR="005A5EDA" w:rsidRPr="005A5EDA" w:rsidRDefault="005A5EDA" w:rsidP="001C3CAC">
      <w:pPr>
        <w:spacing w:after="120"/>
        <w:rPr>
          <w:rFonts w:cstheme="minorHAnsi"/>
          <w:bCs/>
        </w:rPr>
      </w:pPr>
      <w:r w:rsidRPr="005A5EDA">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63C28520" w14:textId="77777777" w:rsidR="005A5EDA" w:rsidRPr="00A77E4B" w:rsidRDefault="005A5EDA" w:rsidP="001C3CAC">
      <w:pPr>
        <w:spacing w:after="0"/>
        <w:rPr>
          <w:rFonts w:cstheme="minorHAnsi"/>
          <w:bCs/>
        </w:rPr>
      </w:pPr>
      <w:r w:rsidRPr="00E625A0">
        <w:rPr>
          <w:rFonts w:cstheme="minorHAnsi"/>
          <w:bCs/>
        </w:rPr>
        <w:t xml:space="preserve">IZ </w:t>
      </w:r>
      <w:r w:rsidR="00396A2A" w:rsidRPr="00E625A0">
        <w:rPr>
          <w:rFonts w:cstheme="minorHAnsi"/>
          <w:bCs/>
        </w:rPr>
        <w:t xml:space="preserve">w trakcie realizacji projektu </w:t>
      </w:r>
      <w:r w:rsidRPr="00E625A0">
        <w:rPr>
          <w:rFonts w:cstheme="minorHAnsi"/>
          <w:bCs/>
        </w:rPr>
        <w:t xml:space="preserve">może obniżyć stawkę ryczałtową kosztów pośrednich </w:t>
      </w:r>
      <w:r w:rsidR="00F53A30">
        <w:rPr>
          <w:rFonts w:cstheme="minorHAnsi"/>
          <w:bCs/>
        </w:rPr>
        <w:br/>
      </w:r>
      <w:r w:rsidRPr="00E625A0">
        <w:rPr>
          <w:rFonts w:cstheme="minorHAnsi"/>
          <w:bCs/>
        </w:rPr>
        <w:t xml:space="preserve">w przypadkach rażącego naruszenia przez Beneficjenta postanowień </w:t>
      </w:r>
      <w:r w:rsidR="00A77E4B" w:rsidRPr="00E625A0">
        <w:rPr>
          <w:rFonts w:cstheme="minorHAnsi"/>
          <w:bCs/>
        </w:rPr>
        <w:t>Zasad realizacji</w:t>
      </w:r>
      <w:r w:rsidRPr="00E625A0">
        <w:rPr>
          <w:rFonts w:cstheme="minorHAnsi"/>
          <w:bCs/>
        </w:rPr>
        <w:t xml:space="preserve"> projektu w zakresie zarządzania projektem.</w:t>
      </w:r>
    </w:p>
    <w:p w14:paraId="3879FEC8" w14:textId="77777777" w:rsidR="005A5EDA" w:rsidRPr="005E237D" w:rsidRDefault="005A5EDA" w:rsidP="00E33E29">
      <w:pPr>
        <w:pStyle w:val="Podrozdzia-K"/>
        <w:spacing w:line="480" w:lineRule="auto"/>
        <w:ind w:left="340"/>
        <w:jc w:val="left"/>
      </w:pPr>
      <w:bookmarkStart w:id="43" w:name="_Toc134446816"/>
      <w:bookmarkStart w:id="44" w:name="_Toc137810499"/>
      <w:r w:rsidRPr="00940EA3">
        <w:t>Ocena</w:t>
      </w:r>
      <w:r w:rsidRPr="005E237D">
        <w:t xml:space="preserve"> kwalifikowalności wydatków, w tym wydatki niekwalifikowalne</w:t>
      </w:r>
      <w:bookmarkEnd w:id="43"/>
      <w:bookmarkEnd w:id="44"/>
      <w:r w:rsidR="006E0300">
        <w:t xml:space="preserve"> </w:t>
      </w:r>
    </w:p>
    <w:p w14:paraId="3B30168C" w14:textId="77777777" w:rsidR="005A5EDA" w:rsidRPr="005A5EDA" w:rsidRDefault="005A5EDA" w:rsidP="001C3CAC">
      <w:pPr>
        <w:spacing w:after="120"/>
        <w:rPr>
          <w:rFonts w:cstheme="minorHAnsi"/>
        </w:rPr>
      </w:pPr>
      <w:r w:rsidRPr="00E93D20">
        <w:rPr>
          <w:rFonts w:cstheme="minorHAnsi"/>
        </w:rPr>
        <w:t xml:space="preserve">Przyjęcie </w:t>
      </w:r>
      <w:r w:rsidR="00E93D20">
        <w:rPr>
          <w:rFonts w:cstheme="minorHAnsi"/>
        </w:rPr>
        <w:t xml:space="preserve">danego projektu do realizacji </w:t>
      </w:r>
      <w:r w:rsidRPr="005A5EDA">
        <w:rPr>
          <w:rFonts w:cstheme="minorHAnsi"/>
        </w:rPr>
        <w:t>nie oznacza, że wszystkie wydatki poniesione podczas jego realizacji i przedstawione we wniosku o płatność, zostaną uznane za kwalifikowalne</w:t>
      </w:r>
      <w:r w:rsidRPr="005A5EDA">
        <w:rPr>
          <w:rFonts w:cstheme="minorHAnsi"/>
          <w:i/>
        </w:rPr>
        <w:t xml:space="preserve">. </w:t>
      </w:r>
      <w:r w:rsidRPr="005A5EDA">
        <w:rPr>
          <w:rFonts w:cstheme="minorHAnsi"/>
        </w:rPr>
        <w:t xml:space="preserve">Pod pojęciem wydatku kwalifikowalnego należy rozumieć wydatek poniesiony w związku z realizacją projektu, który może zostać rozliczony zgodnie </w:t>
      </w:r>
      <w:r w:rsidR="00F53A30">
        <w:rPr>
          <w:rFonts w:cstheme="minorHAnsi"/>
        </w:rPr>
        <w:br/>
      </w:r>
      <w:r w:rsidRPr="005A5EDA">
        <w:rPr>
          <w:rFonts w:cstheme="minorHAnsi"/>
        </w:rPr>
        <w:t xml:space="preserve">z </w:t>
      </w:r>
      <w:r w:rsidR="0024183D">
        <w:rPr>
          <w:rFonts w:cstheme="minorHAnsi"/>
        </w:rPr>
        <w:t>Zasadami realizacji projektu.</w:t>
      </w:r>
    </w:p>
    <w:p w14:paraId="3EDDD52C" w14:textId="77777777" w:rsidR="005A5EDA" w:rsidRPr="005A5EDA" w:rsidRDefault="005A5EDA" w:rsidP="001C3CAC">
      <w:pPr>
        <w:spacing w:after="120"/>
        <w:rPr>
          <w:rFonts w:cstheme="minorHAnsi"/>
        </w:rPr>
      </w:pPr>
      <w:r w:rsidRPr="005A5EDA">
        <w:rPr>
          <w:rFonts w:cstheme="minorHAnsi"/>
        </w:rPr>
        <w:t xml:space="preserve">Aby wydatek na etapie realizacji projektu mógł zostać uznany za kwalifikowalny, musi spełniać łącznie warunki określone w </w:t>
      </w:r>
      <w:r w:rsidRPr="005A5EDA">
        <w:rPr>
          <w:rFonts w:cstheme="minorHAnsi"/>
          <w:i/>
        </w:rPr>
        <w:t xml:space="preserve">Wytycznych </w:t>
      </w:r>
      <w:r w:rsidR="00974E2C">
        <w:rPr>
          <w:rFonts w:cstheme="minorHAnsi"/>
          <w:i/>
        </w:rPr>
        <w:t xml:space="preserve"> dot. </w:t>
      </w:r>
      <w:r w:rsidRPr="005A5EDA">
        <w:rPr>
          <w:rFonts w:cstheme="minorHAnsi"/>
          <w:i/>
        </w:rPr>
        <w:t>kwalifikowalności</w:t>
      </w:r>
      <w:r w:rsidRPr="005A5EDA">
        <w:rPr>
          <w:rFonts w:cstheme="minorHAnsi"/>
        </w:rPr>
        <w:t>, a więc w szczególności:</w:t>
      </w:r>
    </w:p>
    <w:p w14:paraId="5F47CA6E" w14:textId="77777777" w:rsidR="005A5EDA" w:rsidRPr="005A5EDA" w:rsidRDefault="005A5EDA" w:rsidP="001C3CAC">
      <w:pPr>
        <w:numPr>
          <w:ilvl w:val="0"/>
          <w:numId w:val="16"/>
        </w:numPr>
        <w:spacing w:after="120"/>
        <w:rPr>
          <w:rFonts w:cstheme="minorHAnsi"/>
        </w:rPr>
      </w:pPr>
      <w:r w:rsidRPr="005A5EDA">
        <w:rPr>
          <w:rFonts w:cstheme="minorHAnsi"/>
        </w:rPr>
        <w:t>jest zgodny z przepisami prawa,</w:t>
      </w:r>
    </w:p>
    <w:p w14:paraId="602DC8CF" w14:textId="77777777" w:rsidR="005A5EDA" w:rsidRPr="005A5EDA" w:rsidRDefault="005A5EDA" w:rsidP="001C3CAC">
      <w:pPr>
        <w:numPr>
          <w:ilvl w:val="0"/>
          <w:numId w:val="16"/>
        </w:numPr>
        <w:spacing w:after="120"/>
        <w:rPr>
          <w:rFonts w:cstheme="minorHAnsi"/>
        </w:rPr>
      </w:pPr>
      <w:r w:rsidRPr="005A5EDA">
        <w:rPr>
          <w:rFonts w:cstheme="minorHAnsi"/>
        </w:rPr>
        <w:lastRenderedPageBreak/>
        <w:t xml:space="preserve">jest zgodny </w:t>
      </w:r>
      <w:r w:rsidRPr="006E0300">
        <w:rPr>
          <w:rFonts w:cstheme="minorHAnsi"/>
        </w:rPr>
        <w:t xml:space="preserve">z </w:t>
      </w:r>
      <w:r w:rsidR="0024183D" w:rsidRPr="006E0300">
        <w:rPr>
          <w:rFonts w:cstheme="minorHAnsi"/>
        </w:rPr>
        <w:t>Zasadami realizacji</w:t>
      </w:r>
      <w:r w:rsidRPr="006E0300">
        <w:rPr>
          <w:rFonts w:cstheme="minorHAnsi"/>
        </w:rPr>
        <w:t xml:space="preserve"> projektu </w:t>
      </w:r>
      <w:r w:rsidRPr="005A5EDA">
        <w:rPr>
          <w:rFonts w:cstheme="minorHAnsi"/>
        </w:rPr>
        <w:t xml:space="preserve">i Wytycznymi oraz innymi procedurami, do stosowania których Beneficjent zobowiązał się w </w:t>
      </w:r>
      <w:r w:rsidR="0024183D">
        <w:rPr>
          <w:rFonts w:cstheme="minorHAnsi"/>
        </w:rPr>
        <w:t>Zasadach realizacji</w:t>
      </w:r>
      <w:r w:rsidRPr="005A5EDA">
        <w:rPr>
          <w:rFonts w:cstheme="minorHAnsi"/>
        </w:rPr>
        <w:t xml:space="preserve"> projektu,</w:t>
      </w:r>
    </w:p>
    <w:p w14:paraId="577D87C9" w14:textId="77777777" w:rsidR="005A5EDA" w:rsidRPr="005A5EDA" w:rsidRDefault="005A5EDA" w:rsidP="001C3CAC">
      <w:pPr>
        <w:numPr>
          <w:ilvl w:val="0"/>
          <w:numId w:val="16"/>
        </w:numPr>
        <w:spacing w:after="120"/>
        <w:rPr>
          <w:rFonts w:cstheme="minorHAnsi"/>
        </w:rPr>
      </w:pPr>
      <w:r w:rsidRPr="005A5EDA">
        <w:rPr>
          <w:rFonts w:cstheme="minorHAnsi"/>
        </w:rPr>
        <w:t xml:space="preserve">został faktycznie poniesiony zgodnie z zasadą określoną w podrozdziale 3.1 </w:t>
      </w:r>
      <w:r w:rsidRPr="005A5EDA">
        <w:rPr>
          <w:rFonts w:cstheme="minorHAnsi"/>
          <w:i/>
        </w:rPr>
        <w:t>Wytyc</w:t>
      </w:r>
      <w:r w:rsidR="00E93D20">
        <w:rPr>
          <w:rFonts w:cstheme="minorHAnsi"/>
          <w:i/>
        </w:rPr>
        <w:t>znych</w:t>
      </w:r>
      <w:r w:rsidRPr="005A5EDA">
        <w:rPr>
          <w:rFonts w:cstheme="minorHAnsi"/>
          <w:i/>
        </w:rPr>
        <w:t xml:space="preserve"> kwalifikowalności wydatków</w:t>
      </w:r>
      <w:r w:rsidRPr="005A5EDA">
        <w:rPr>
          <w:rFonts w:cstheme="minorHAnsi"/>
        </w:rPr>
        <w:t xml:space="preserve">, w okresie wskazanym w </w:t>
      </w:r>
      <w:r w:rsidR="0024183D" w:rsidRPr="006E0300">
        <w:rPr>
          <w:rFonts w:cstheme="minorHAnsi"/>
        </w:rPr>
        <w:t xml:space="preserve">Zasadach realizacji </w:t>
      </w:r>
      <w:r w:rsidRPr="006E0300">
        <w:rPr>
          <w:rFonts w:cstheme="minorHAnsi"/>
        </w:rPr>
        <w:t>projektu</w:t>
      </w:r>
      <w:r w:rsidRPr="005A5EDA">
        <w:rPr>
          <w:rFonts w:cstheme="minorHAnsi"/>
        </w:rPr>
        <w:t>,</w:t>
      </w:r>
    </w:p>
    <w:p w14:paraId="05CF1B04" w14:textId="77777777" w:rsidR="005A5EDA" w:rsidRPr="005A5EDA" w:rsidRDefault="005A5EDA" w:rsidP="001C3CAC">
      <w:pPr>
        <w:numPr>
          <w:ilvl w:val="0"/>
          <w:numId w:val="16"/>
        </w:numPr>
        <w:spacing w:after="120"/>
        <w:rPr>
          <w:rFonts w:cstheme="minorHAnsi"/>
        </w:rPr>
      </w:pPr>
      <w:r w:rsidRPr="005A5EDA">
        <w:rPr>
          <w:rFonts w:cstheme="minorHAnsi"/>
        </w:rPr>
        <w:t>spełnia waru</w:t>
      </w:r>
      <w:r w:rsidR="00E93D20">
        <w:rPr>
          <w:rFonts w:cstheme="minorHAnsi"/>
        </w:rPr>
        <w:t xml:space="preserve">nki określone w </w:t>
      </w:r>
      <w:proofErr w:type="spellStart"/>
      <w:r w:rsidR="00E93D20">
        <w:rPr>
          <w:rFonts w:cstheme="minorHAnsi"/>
        </w:rPr>
        <w:t>FEWiM</w:t>
      </w:r>
      <w:proofErr w:type="spellEnd"/>
      <w:r w:rsidR="00E93D20">
        <w:rPr>
          <w:rFonts w:cstheme="minorHAnsi"/>
        </w:rPr>
        <w:t xml:space="preserve"> </w:t>
      </w:r>
      <w:r w:rsidRPr="005A5EDA">
        <w:rPr>
          <w:rFonts w:cstheme="minorHAnsi"/>
        </w:rPr>
        <w:t>i SZOP oraz Regulaminie wyboru projektów,</w:t>
      </w:r>
    </w:p>
    <w:p w14:paraId="754C18A1" w14:textId="77777777" w:rsidR="005A5EDA" w:rsidRPr="005A5EDA" w:rsidRDefault="005A5EDA" w:rsidP="001C3CAC">
      <w:pPr>
        <w:numPr>
          <w:ilvl w:val="0"/>
          <w:numId w:val="16"/>
        </w:numPr>
        <w:spacing w:after="120"/>
        <w:rPr>
          <w:rFonts w:cstheme="minorHAnsi"/>
        </w:rPr>
      </w:pPr>
      <w:r w:rsidRPr="005A5EDA">
        <w:rPr>
          <w:rFonts w:cstheme="minorHAnsi"/>
        </w:rPr>
        <w:t>jest niezbędny do realizacji celów projektu i został poniesiony w związku z realizacją projektu,</w:t>
      </w:r>
    </w:p>
    <w:p w14:paraId="0359D0D4" w14:textId="77777777" w:rsidR="005A5EDA" w:rsidRPr="005A5EDA" w:rsidRDefault="005A5EDA" w:rsidP="001C3CAC">
      <w:pPr>
        <w:numPr>
          <w:ilvl w:val="0"/>
          <w:numId w:val="16"/>
        </w:numPr>
        <w:spacing w:after="120"/>
        <w:rPr>
          <w:rFonts w:cstheme="minorHAnsi"/>
        </w:rPr>
      </w:pPr>
      <w:r w:rsidRPr="005A5EDA">
        <w:rPr>
          <w:rFonts w:cstheme="minorHAnsi"/>
        </w:rPr>
        <w:t>został dokonany w sposób przejrzysty, racjonalny i efektywny, z zachowaniem zasad uzyskiwania najlepszych efektów z danych nakładów,</w:t>
      </w:r>
    </w:p>
    <w:p w14:paraId="27ACFDB4" w14:textId="77777777" w:rsidR="005A5EDA" w:rsidRPr="005A5EDA" w:rsidRDefault="005A5EDA" w:rsidP="001C3CAC">
      <w:pPr>
        <w:numPr>
          <w:ilvl w:val="0"/>
          <w:numId w:val="16"/>
        </w:numPr>
        <w:spacing w:after="120"/>
        <w:rPr>
          <w:rFonts w:cstheme="minorHAnsi"/>
        </w:rPr>
      </w:pPr>
      <w:r w:rsidRPr="005A5EDA">
        <w:rPr>
          <w:rFonts w:cstheme="minorHAnsi"/>
        </w:rPr>
        <w:t>został należycie udokumentowany,</w:t>
      </w:r>
    </w:p>
    <w:p w14:paraId="328DAE12" w14:textId="77777777" w:rsidR="005A5EDA" w:rsidRPr="005A5EDA" w:rsidRDefault="005A5EDA" w:rsidP="001C3CAC">
      <w:pPr>
        <w:numPr>
          <w:ilvl w:val="0"/>
          <w:numId w:val="16"/>
        </w:numPr>
        <w:spacing w:after="120"/>
        <w:rPr>
          <w:rFonts w:cstheme="minorHAnsi"/>
        </w:rPr>
      </w:pPr>
      <w:r w:rsidRPr="005A5EDA">
        <w:rPr>
          <w:rFonts w:cstheme="minorHAnsi"/>
        </w:rPr>
        <w:t>został rozliczony we wniosku Beneficjenta o płatność,</w:t>
      </w:r>
    </w:p>
    <w:p w14:paraId="005BAD8D" w14:textId="77777777" w:rsidR="005A5EDA" w:rsidRPr="005A5EDA" w:rsidRDefault="005A5EDA" w:rsidP="001C3CAC">
      <w:pPr>
        <w:numPr>
          <w:ilvl w:val="0"/>
          <w:numId w:val="16"/>
        </w:numPr>
        <w:spacing w:after="0"/>
        <w:rPr>
          <w:rFonts w:cstheme="minorHAnsi"/>
        </w:rPr>
      </w:pPr>
      <w:r w:rsidRPr="005A5EDA">
        <w:rPr>
          <w:rFonts w:cstheme="minorHAnsi"/>
        </w:rPr>
        <w:t>dotyczy towarów dostarczonych lub usług wykonanych lub robót zrealizowanych, w tym zaliczek dla wykonawców.</w:t>
      </w:r>
    </w:p>
    <w:p w14:paraId="581DB8DD" w14:textId="77777777" w:rsidR="005A5EDA" w:rsidRPr="005A5EDA" w:rsidRDefault="005A5EDA" w:rsidP="001C3CAC">
      <w:pPr>
        <w:spacing w:after="0"/>
        <w:rPr>
          <w:rFonts w:cstheme="minorHAnsi"/>
        </w:rPr>
      </w:pPr>
    </w:p>
    <w:p w14:paraId="0749CA6F" w14:textId="77777777" w:rsidR="005A5EDA" w:rsidRPr="005A5EDA" w:rsidRDefault="005A5EDA" w:rsidP="001C3CAC">
      <w:pPr>
        <w:spacing w:after="120"/>
        <w:rPr>
          <w:rFonts w:cstheme="minorHAnsi"/>
        </w:rPr>
      </w:pPr>
      <w:r w:rsidRPr="005A5EDA">
        <w:rPr>
          <w:rFonts w:cstheme="minorHAnsi"/>
        </w:rPr>
        <w:t>Kwalifikowalność wydatków, a w szczególności ich racjonalność i niezbędność jest weryfikowana:</w:t>
      </w:r>
    </w:p>
    <w:p w14:paraId="34E7C583" w14:textId="77777777" w:rsidR="005A5EDA" w:rsidRPr="005A5EDA" w:rsidRDefault="005A5EDA" w:rsidP="001C3CAC">
      <w:pPr>
        <w:numPr>
          <w:ilvl w:val="0"/>
          <w:numId w:val="15"/>
        </w:numPr>
        <w:spacing w:after="120"/>
        <w:ind w:left="284" w:hanging="284"/>
        <w:rPr>
          <w:rFonts w:cstheme="minorHAnsi"/>
        </w:rPr>
      </w:pPr>
      <w:r w:rsidRPr="005A5EDA">
        <w:rPr>
          <w:rFonts w:cstheme="minorHAnsi"/>
        </w:rPr>
        <w:t>na etapie oceny wniosku o dofinansowanie projektu w ramach KOP,</w:t>
      </w:r>
    </w:p>
    <w:p w14:paraId="3A910D7B" w14:textId="77777777" w:rsidR="005A5EDA" w:rsidRPr="005A5EDA" w:rsidRDefault="005A5EDA" w:rsidP="001C3CAC">
      <w:pPr>
        <w:numPr>
          <w:ilvl w:val="0"/>
          <w:numId w:val="15"/>
        </w:numPr>
        <w:spacing w:after="120"/>
        <w:ind w:left="284" w:hanging="284"/>
        <w:rPr>
          <w:rFonts w:cstheme="minorHAnsi"/>
        </w:rPr>
      </w:pPr>
      <w:r w:rsidRPr="005A5EDA">
        <w:rPr>
          <w:rFonts w:cstheme="minorHAnsi"/>
        </w:rPr>
        <w:t>w trakcie realizacji projektu poprzez weryfikację wniosków o płatność,</w:t>
      </w:r>
    </w:p>
    <w:p w14:paraId="69BEE7D2" w14:textId="77777777" w:rsidR="005A5EDA" w:rsidRPr="005A5EDA" w:rsidRDefault="005A5EDA" w:rsidP="001C3CAC">
      <w:pPr>
        <w:numPr>
          <w:ilvl w:val="0"/>
          <w:numId w:val="15"/>
        </w:numPr>
        <w:spacing w:after="120"/>
        <w:ind w:left="284" w:hanging="284"/>
        <w:rPr>
          <w:rFonts w:cstheme="minorHAnsi"/>
        </w:rPr>
      </w:pPr>
      <w:r w:rsidRPr="005A5EDA">
        <w:rPr>
          <w:rFonts w:cstheme="minorHAnsi"/>
        </w:rPr>
        <w:t>w trakcie kontroli projektu (w miejscu realizacji projektu lub siedzibie Beneficjenta),</w:t>
      </w:r>
    </w:p>
    <w:p w14:paraId="5BD04FB5" w14:textId="77777777" w:rsidR="005A5EDA" w:rsidRPr="005A5EDA" w:rsidRDefault="005A5EDA" w:rsidP="001C3CAC">
      <w:pPr>
        <w:numPr>
          <w:ilvl w:val="0"/>
          <w:numId w:val="15"/>
        </w:numPr>
        <w:spacing w:after="120"/>
        <w:ind w:left="284" w:hanging="284"/>
        <w:rPr>
          <w:rFonts w:cstheme="minorHAnsi"/>
        </w:rPr>
      </w:pPr>
      <w:r w:rsidRPr="006E0300">
        <w:rPr>
          <w:rFonts w:cstheme="minorHAnsi"/>
        </w:rPr>
        <w:t xml:space="preserve">po zakończeniu realizacji projektu, zgodnie z postanowieniami </w:t>
      </w:r>
      <w:r w:rsidR="004F03B6" w:rsidRPr="006E0300">
        <w:rPr>
          <w:rFonts w:cstheme="minorHAnsi"/>
        </w:rPr>
        <w:t xml:space="preserve">Zasad realizacji projektu </w:t>
      </w:r>
      <w:proofErr w:type="spellStart"/>
      <w:r w:rsidRPr="006E0300">
        <w:rPr>
          <w:rFonts w:cstheme="minorHAnsi"/>
        </w:rPr>
        <w:t>projektu</w:t>
      </w:r>
      <w:proofErr w:type="spellEnd"/>
      <w:r w:rsidRPr="006E0300">
        <w:rPr>
          <w:rFonts w:cstheme="minorHAnsi"/>
        </w:rPr>
        <w:t xml:space="preserve"> i obowiązującymi przepisami.</w:t>
      </w:r>
    </w:p>
    <w:p w14:paraId="618ECC96" w14:textId="77777777" w:rsidR="005A5EDA" w:rsidRPr="005A5EDA" w:rsidRDefault="00974E2C" w:rsidP="001C3CAC">
      <w:pPr>
        <w:spacing w:after="120"/>
        <w:rPr>
          <w:rFonts w:cstheme="minorHAnsi"/>
        </w:rPr>
      </w:pPr>
      <w:r>
        <w:rPr>
          <w:rFonts w:cstheme="minorHAnsi"/>
        </w:rPr>
        <w:t xml:space="preserve">Ponadto </w:t>
      </w:r>
      <w:r w:rsidR="005A5EDA" w:rsidRPr="005A5EDA">
        <w:rPr>
          <w:rFonts w:cstheme="minorHAnsi"/>
        </w:rPr>
        <w:t xml:space="preserve"> zatwierdzenie kwalifikowalności wydatków w projekcie następuje po weryfikacji osiągnięcia wskaźników produktu oraz rezultatu a także celów projektu zatwierdzonych we wniosku o dofinansowanie projektu.</w:t>
      </w:r>
    </w:p>
    <w:p w14:paraId="3E4B7DAB" w14:textId="77777777" w:rsidR="005A5EDA" w:rsidRPr="005A5EDA" w:rsidRDefault="005A5EDA" w:rsidP="001C3CAC">
      <w:pPr>
        <w:spacing w:after="120"/>
        <w:rPr>
          <w:rFonts w:cstheme="minorHAnsi"/>
        </w:rPr>
      </w:pPr>
      <w:r w:rsidRPr="005A5EDA">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w:t>
      </w:r>
      <w:r w:rsidRPr="006E0300">
        <w:rPr>
          <w:rFonts w:cstheme="minorHAnsi"/>
        </w:rPr>
        <w:t xml:space="preserve">Nieosiągnięcie lub niezachowanie wskaźników </w:t>
      </w:r>
      <w:r w:rsidRPr="006E0300">
        <w:rPr>
          <w:rFonts w:cstheme="minorHAnsi"/>
          <w:b/>
        </w:rPr>
        <w:t>może oznaczać nieprawidłowość oraz skutkować nałożeniem korekty finansowej</w:t>
      </w:r>
      <w:r w:rsidRPr="006E0300">
        <w:rPr>
          <w:rFonts w:cstheme="minorHAnsi"/>
        </w:rPr>
        <w:t>.</w:t>
      </w:r>
      <w:r w:rsidRPr="005A5EDA">
        <w:rPr>
          <w:rFonts w:cstheme="minorHAnsi"/>
        </w:rPr>
        <w:t xml:space="preserve"> </w:t>
      </w:r>
    </w:p>
    <w:p w14:paraId="7120E787" w14:textId="77777777" w:rsidR="005A5EDA" w:rsidRPr="005A5EDA" w:rsidRDefault="005A5EDA" w:rsidP="001C3CAC">
      <w:pPr>
        <w:spacing w:after="120"/>
        <w:rPr>
          <w:rFonts w:cstheme="minorHAnsi"/>
        </w:rPr>
      </w:pPr>
      <w:r w:rsidRPr="005A5EDA">
        <w:rPr>
          <w:rFonts w:cstheme="minorHAnsi"/>
        </w:rPr>
        <w:t xml:space="preserve">W ramach oceny kwalifikowalności wydatków Instytucja bada również spełnienie kryteriów wyboru projektów obowiązujących w ramach danego naboru wniosków o dofinansowanie </w:t>
      </w:r>
      <w:r w:rsidRPr="005A5EDA">
        <w:rPr>
          <w:rFonts w:cstheme="minorHAnsi"/>
        </w:rPr>
        <w:lastRenderedPageBreak/>
        <w:t>projektu, dla których nie określono wskaźników produktu lub rezultatu i może podjąć decyzję o zastosowaniu reguły proporcjonalności w przypadku ich niespełnienia.</w:t>
      </w:r>
    </w:p>
    <w:p w14:paraId="165F2127" w14:textId="77777777" w:rsidR="005A5EDA" w:rsidRPr="005A5EDA" w:rsidRDefault="005A5EDA" w:rsidP="001C3CAC">
      <w:pPr>
        <w:spacing w:after="120"/>
        <w:rPr>
          <w:rFonts w:cstheme="minorHAnsi"/>
        </w:rPr>
      </w:pPr>
      <w:r w:rsidRPr="006E0300">
        <w:rPr>
          <w:rFonts w:cstheme="minorHAnsi"/>
        </w:rPr>
        <w:t>Właściw</w:t>
      </w:r>
      <w:r w:rsidR="004F03B6" w:rsidRPr="006E0300">
        <w:rPr>
          <w:rFonts w:cstheme="minorHAnsi"/>
        </w:rPr>
        <w:t>a instytucja będąca stroną Zasad realizacji projektu</w:t>
      </w:r>
      <w:r w:rsidRPr="006E0300">
        <w:rPr>
          <w:rFonts w:cstheme="minorHAnsi"/>
        </w:rPr>
        <w:t xml:space="preserve"> może podjąć decyzję </w:t>
      </w:r>
      <w:r w:rsidR="00F53A30">
        <w:rPr>
          <w:rFonts w:cstheme="minorHAnsi"/>
        </w:rPr>
        <w:br/>
      </w:r>
      <w:r w:rsidRPr="006E0300">
        <w:rPr>
          <w:rFonts w:cstheme="minorHAnsi"/>
        </w:rPr>
        <w:t>o odstąpieniu od rozliczenia projektu zgodnie z regułą proporcjonalności w przypadku:</w:t>
      </w:r>
    </w:p>
    <w:p w14:paraId="5A87996D" w14:textId="77777777" w:rsidR="005A5EDA" w:rsidRPr="005A5EDA" w:rsidRDefault="005A5EDA" w:rsidP="001C3CAC">
      <w:pPr>
        <w:spacing w:after="120"/>
        <w:rPr>
          <w:rFonts w:cstheme="minorHAnsi"/>
        </w:rPr>
      </w:pPr>
      <w:r w:rsidRPr="005A5EDA">
        <w:rPr>
          <w:rFonts w:cstheme="minorHAnsi"/>
        </w:rPr>
        <w:t>a) wystąpienia siły wyższej,</w:t>
      </w:r>
    </w:p>
    <w:p w14:paraId="1F15D6A6" w14:textId="77777777" w:rsidR="005A5EDA" w:rsidRPr="005A5EDA" w:rsidRDefault="005A5EDA" w:rsidP="001C3CAC">
      <w:pPr>
        <w:spacing w:after="120"/>
        <w:ind w:left="142" w:hanging="142"/>
        <w:rPr>
          <w:rFonts w:cstheme="minorHAnsi"/>
        </w:rPr>
      </w:pPr>
      <w:r w:rsidRPr="005A5EDA">
        <w:rPr>
          <w:rFonts w:cstheme="minorHAnsi"/>
        </w:rPr>
        <w:t>b) jeśli Beneficjent o to wnioskuje i należycie uzasadni przyczyny nieosiągnięcia założeń, w szczególności wykaże swoje starania zmierzające do osiągnięcia założeń projektu.</w:t>
      </w:r>
    </w:p>
    <w:p w14:paraId="23D84EEF" w14:textId="77777777" w:rsidR="005A5EDA" w:rsidRPr="00E93D20" w:rsidRDefault="005A5EDA" w:rsidP="001C3CAC">
      <w:pPr>
        <w:pStyle w:val="Nagwek-K"/>
      </w:pPr>
      <w:r w:rsidRPr="00E93D20">
        <w:t>Wydatki niekwalifikowalne</w:t>
      </w:r>
    </w:p>
    <w:p w14:paraId="3C58FC3E" w14:textId="77777777" w:rsidR="005A5EDA" w:rsidRPr="00E93D20" w:rsidRDefault="005A5EDA" w:rsidP="001C3CAC">
      <w:pPr>
        <w:pStyle w:val="TreNum-K"/>
        <w:numPr>
          <w:ilvl w:val="0"/>
          <w:numId w:val="31"/>
        </w:numPr>
        <w:jc w:val="left"/>
      </w:pPr>
      <w:r w:rsidRPr="00E93D20">
        <w:t>Wydatkami niekwalifikowalnymi są zawsze:</w:t>
      </w:r>
    </w:p>
    <w:p w14:paraId="3CD1B30F" w14:textId="77777777" w:rsidR="005A5EDA" w:rsidRPr="00E93D20" w:rsidRDefault="005A5EDA" w:rsidP="001C3CAC">
      <w:pPr>
        <w:numPr>
          <w:ilvl w:val="0"/>
          <w:numId w:val="17"/>
        </w:numPr>
        <w:spacing w:after="120"/>
        <w:rPr>
          <w:rFonts w:cstheme="minorHAnsi"/>
        </w:rPr>
      </w:pPr>
      <w:r w:rsidRPr="00E93D20">
        <w:rPr>
          <w:rFonts w:cstheme="minorHAnsi"/>
        </w:rPr>
        <w:t xml:space="preserve">odsetki od zadłużenia, z wyjątkiem przypadków związanych z dotacjami udzielonymi w formie dotacji na spłatę odsetek lub dotacji na opłaty gwarancyjne; </w:t>
      </w:r>
    </w:p>
    <w:p w14:paraId="53CF2CCD" w14:textId="77777777" w:rsidR="005A5EDA" w:rsidRPr="00E93D20" w:rsidRDefault="005A5EDA" w:rsidP="001C3CAC">
      <w:pPr>
        <w:numPr>
          <w:ilvl w:val="0"/>
          <w:numId w:val="17"/>
        </w:numPr>
        <w:spacing w:after="120"/>
        <w:rPr>
          <w:rFonts w:cstheme="minorHAnsi"/>
        </w:rPr>
      </w:pPr>
      <w:r w:rsidRPr="00E93D20">
        <w:rPr>
          <w:rFonts w:cstheme="minorHAnsi"/>
        </w:rPr>
        <w:t xml:space="preserve">zakup gruntu i nieruchomości, a także zakup infrastruktury; oraz </w:t>
      </w:r>
    </w:p>
    <w:p w14:paraId="4DF692F5" w14:textId="77777777" w:rsidR="005A5EDA" w:rsidRPr="00E93D20" w:rsidRDefault="005A5EDA" w:rsidP="001C3CAC">
      <w:pPr>
        <w:numPr>
          <w:ilvl w:val="0"/>
          <w:numId w:val="17"/>
        </w:numPr>
        <w:spacing w:after="120"/>
        <w:rPr>
          <w:rFonts w:cstheme="minorHAnsi"/>
        </w:rPr>
      </w:pPr>
      <w:r w:rsidRPr="00E93D20">
        <w:rPr>
          <w:rFonts w:cstheme="minorHAnsi"/>
        </w:rPr>
        <w:t>zakup mebli, sprzętu i pojazdów, z wyjątkiem przypadków, w których taki zakup jest konieczny do osiągnięcia celu operacji lub wartość tych przedmiotów jest całkowicie zamortyzowana w trakcie operacji, lub ich zakup jest najbardziej opłacalną opcją;</w:t>
      </w:r>
    </w:p>
    <w:p w14:paraId="07709CB8" w14:textId="77777777" w:rsidR="005A5EDA" w:rsidRPr="00E93D20" w:rsidRDefault="005A5EDA" w:rsidP="001C3CAC">
      <w:pPr>
        <w:numPr>
          <w:ilvl w:val="0"/>
          <w:numId w:val="17"/>
        </w:numPr>
        <w:spacing w:after="120"/>
        <w:rPr>
          <w:rFonts w:cstheme="minorHAnsi"/>
        </w:rPr>
      </w:pPr>
      <w:r w:rsidRPr="00E93D20">
        <w:rPr>
          <w:rFonts w:cstheme="minorHAnsi"/>
        </w:rPr>
        <w:t>kary i grzywny,</w:t>
      </w:r>
    </w:p>
    <w:p w14:paraId="0638FEE9" w14:textId="77777777" w:rsidR="005A5EDA" w:rsidRPr="00E93D20" w:rsidRDefault="005A5EDA" w:rsidP="001C3CAC">
      <w:pPr>
        <w:numPr>
          <w:ilvl w:val="0"/>
          <w:numId w:val="17"/>
        </w:numPr>
        <w:spacing w:after="120"/>
        <w:rPr>
          <w:rFonts w:cstheme="minorHAnsi"/>
        </w:rPr>
      </w:pPr>
      <w:r w:rsidRPr="00E93D20">
        <w:rPr>
          <w:rFonts w:cstheme="minorHAnsi"/>
        </w:rPr>
        <w:t>koszty postępowania sądowego, wydatki związane z przygotowaniem i obsługą prawną spraw sądowych oraz wydatki poniesione na funkcjonowanie komisji rozjemczych,</w:t>
      </w:r>
    </w:p>
    <w:p w14:paraId="5397EFBC" w14:textId="77777777" w:rsidR="005A5EDA" w:rsidRPr="00E93D20" w:rsidRDefault="005A5EDA" w:rsidP="001C3CAC">
      <w:pPr>
        <w:numPr>
          <w:ilvl w:val="0"/>
          <w:numId w:val="17"/>
        </w:numPr>
        <w:spacing w:after="120"/>
        <w:rPr>
          <w:rFonts w:cstheme="minorHAnsi"/>
        </w:rPr>
      </w:pPr>
      <w:r w:rsidRPr="00E93D20">
        <w:rPr>
          <w:rFonts w:cstheme="minorHAnsi"/>
        </w:rPr>
        <w:t>koszty pożyczki lub kredytu zaciągniętego na prefinansowanie dotacji,</w:t>
      </w:r>
    </w:p>
    <w:p w14:paraId="06D4D6E4" w14:textId="77777777" w:rsidR="005A5EDA" w:rsidRPr="00E93D20" w:rsidRDefault="005A5EDA" w:rsidP="001C3CAC">
      <w:pPr>
        <w:numPr>
          <w:ilvl w:val="0"/>
          <w:numId w:val="17"/>
        </w:numPr>
        <w:spacing w:after="120"/>
        <w:rPr>
          <w:rFonts w:cstheme="minorHAnsi"/>
        </w:rPr>
      </w:pPr>
      <w:r w:rsidRPr="00E93D20">
        <w:rPr>
          <w:rFonts w:cstheme="minorHAnsi"/>
        </w:rPr>
        <w:t>prowizje pobierane w ramach operacji wymiany walut,</w:t>
      </w:r>
    </w:p>
    <w:p w14:paraId="2E44A945" w14:textId="77777777" w:rsidR="005A5EDA" w:rsidRPr="00E93D20" w:rsidRDefault="005A5EDA" w:rsidP="001C3CAC">
      <w:pPr>
        <w:numPr>
          <w:ilvl w:val="0"/>
          <w:numId w:val="17"/>
        </w:numPr>
        <w:spacing w:after="120"/>
        <w:rPr>
          <w:rFonts w:cstheme="minorHAnsi"/>
        </w:rPr>
      </w:pPr>
      <w:r w:rsidRPr="00E93D20">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1B1E77A3" w14:textId="77777777" w:rsidR="005A5EDA" w:rsidRPr="00E93D20" w:rsidRDefault="005A5EDA" w:rsidP="001C3CAC">
      <w:pPr>
        <w:numPr>
          <w:ilvl w:val="0"/>
          <w:numId w:val="17"/>
        </w:numPr>
        <w:spacing w:after="120"/>
        <w:rPr>
          <w:rFonts w:cstheme="minorHAnsi"/>
        </w:rPr>
      </w:pPr>
      <w:r w:rsidRPr="00E93D20">
        <w:rPr>
          <w:rFonts w:cstheme="minorHAnsi"/>
        </w:rPr>
        <w:t>nagrody jubileuszowe przeznaczone dla personelu projektu,</w:t>
      </w:r>
    </w:p>
    <w:p w14:paraId="7AE06B33" w14:textId="77777777" w:rsidR="005A5EDA" w:rsidRPr="00E93D20" w:rsidRDefault="005A5EDA" w:rsidP="001C3CAC">
      <w:pPr>
        <w:numPr>
          <w:ilvl w:val="0"/>
          <w:numId w:val="17"/>
        </w:numPr>
        <w:spacing w:after="120"/>
        <w:rPr>
          <w:rFonts w:cstheme="minorHAnsi"/>
        </w:rPr>
      </w:pPr>
      <w:r w:rsidRPr="00E93D20">
        <w:rPr>
          <w:rFonts w:cstheme="minorHAnsi"/>
        </w:rPr>
        <w:t>odprawy pracownicze przeznaczone dla personelu projektu,</w:t>
      </w:r>
    </w:p>
    <w:p w14:paraId="0E7D6C35" w14:textId="77777777" w:rsidR="005A5EDA" w:rsidRPr="00E93D20" w:rsidRDefault="005A5EDA" w:rsidP="001C3CAC">
      <w:pPr>
        <w:numPr>
          <w:ilvl w:val="0"/>
          <w:numId w:val="17"/>
        </w:numPr>
        <w:spacing w:after="120"/>
        <w:rPr>
          <w:rFonts w:cstheme="minorHAnsi"/>
        </w:rPr>
      </w:pPr>
      <w:r w:rsidRPr="00E93D20">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7CACD749" w14:textId="77777777" w:rsidR="005A5EDA" w:rsidRPr="00E93D20" w:rsidRDefault="005A5EDA" w:rsidP="001C3CAC">
      <w:pPr>
        <w:numPr>
          <w:ilvl w:val="0"/>
          <w:numId w:val="17"/>
        </w:numPr>
        <w:spacing w:after="120"/>
        <w:rPr>
          <w:rFonts w:cstheme="minorHAnsi"/>
        </w:rPr>
      </w:pPr>
      <w:r w:rsidRPr="00E93D20">
        <w:rPr>
          <w:rFonts w:cstheme="minorHAnsi"/>
        </w:rPr>
        <w:lastRenderedPageBreak/>
        <w:t>świadczenia na rzecz personelu projektu realizowane z Zakładowego Funduszu Świadczeń Socjalnych (ZFŚS),</w:t>
      </w:r>
    </w:p>
    <w:p w14:paraId="0DCC07E7" w14:textId="77777777" w:rsidR="005A5EDA" w:rsidRPr="00E93D20" w:rsidRDefault="005A5EDA" w:rsidP="001C3CAC">
      <w:pPr>
        <w:numPr>
          <w:ilvl w:val="0"/>
          <w:numId w:val="17"/>
        </w:numPr>
        <w:spacing w:after="120"/>
        <w:rPr>
          <w:rFonts w:cstheme="minorHAnsi"/>
        </w:rPr>
      </w:pPr>
      <w:r w:rsidRPr="00E93D20">
        <w:rPr>
          <w:rFonts w:cstheme="minorHAnsi"/>
        </w:rPr>
        <w:t>koszty ubezpieczenia cywilnego funkcjonariuszy publicznych za szkodę wyrządzoną przy wykonywaniu władzy publicznej,</w:t>
      </w:r>
    </w:p>
    <w:p w14:paraId="6757F079" w14:textId="77777777" w:rsidR="005A5EDA" w:rsidRPr="00E93D20" w:rsidRDefault="005A5EDA" w:rsidP="001C3CAC">
      <w:pPr>
        <w:numPr>
          <w:ilvl w:val="0"/>
          <w:numId w:val="17"/>
        </w:numPr>
        <w:spacing w:after="120"/>
        <w:rPr>
          <w:rFonts w:cstheme="minorHAnsi"/>
        </w:rPr>
      </w:pPr>
      <w:r w:rsidRPr="00E93D20">
        <w:rPr>
          <w:rFonts w:cstheme="minorHAnsi"/>
        </w:rPr>
        <w:t>koszty składek i opłat fakultatywnych na rzecz personelu projektu, niewymaganych obowiązującymi przepisami prawa, chyba że:</w:t>
      </w:r>
    </w:p>
    <w:p w14:paraId="33B13DB4" w14:textId="77777777" w:rsidR="005A5EDA" w:rsidRPr="00E93D20" w:rsidRDefault="005A5EDA" w:rsidP="001C3CAC">
      <w:pPr>
        <w:numPr>
          <w:ilvl w:val="0"/>
          <w:numId w:val="18"/>
        </w:numPr>
        <w:spacing w:after="120"/>
        <w:rPr>
          <w:rFonts w:cstheme="minorHAnsi"/>
        </w:rPr>
      </w:pPr>
      <w:r w:rsidRPr="00E93D20">
        <w:rPr>
          <w:rFonts w:cstheme="minorHAnsi"/>
        </w:rPr>
        <w:t>zostały przewidziane w regulaminie pracy lub regulaminie wynagradzania lub innych właściwych przepisach prawa pracy,</w:t>
      </w:r>
    </w:p>
    <w:p w14:paraId="319903E0" w14:textId="77777777" w:rsidR="005A5EDA" w:rsidRPr="00E93D20" w:rsidRDefault="005A5EDA" w:rsidP="001C3CAC">
      <w:pPr>
        <w:numPr>
          <w:ilvl w:val="0"/>
          <w:numId w:val="18"/>
        </w:numPr>
        <w:spacing w:after="120"/>
        <w:rPr>
          <w:rFonts w:cstheme="minorHAnsi"/>
        </w:rPr>
      </w:pPr>
      <w:r w:rsidRPr="00E93D20">
        <w:rPr>
          <w:rFonts w:cstheme="minorHAnsi"/>
        </w:rPr>
        <w:t>zostały wprowadzone co najmniej sześć miesięcy przed złożeniem wniosku o dofinansowanie projektu,</w:t>
      </w:r>
    </w:p>
    <w:p w14:paraId="563667EA" w14:textId="77777777" w:rsidR="005A5EDA" w:rsidRPr="00E93D20" w:rsidRDefault="005A5EDA" w:rsidP="001C3CAC">
      <w:pPr>
        <w:numPr>
          <w:ilvl w:val="0"/>
          <w:numId w:val="18"/>
        </w:numPr>
        <w:spacing w:after="120"/>
        <w:rPr>
          <w:rFonts w:cstheme="minorHAnsi"/>
        </w:rPr>
      </w:pPr>
      <w:r w:rsidRPr="00E93D20">
        <w:rPr>
          <w:rFonts w:cstheme="minorHAnsi"/>
        </w:rPr>
        <w:t>potencjalnie obejmują wszystkich pracowników, a zasady ich przyznawania są takie same w przypadku personelu projektu oraz pozostałych pracowników Beneficjenta,</w:t>
      </w:r>
    </w:p>
    <w:p w14:paraId="003D570D" w14:textId="77777777" w:rsidR="005A5EDA" w:rsidRPr="00E93D20" w:rsidRDefault="005A5EDA" w:rsidP="001C3CAC">
      <w:pPr>
        <w:numPr>
          <w:ilvl w:val="0"/>
          <w:numId w:val="17"/>
        </w:numPr>
        <w:spacing w:after="120"/>
        <w:rPr>
          <w:rFonts w:cstheme="minorHAnsi"/>
        </w:rPr>
      </w:pPr>
      <w:r w:rsidRPr="00E93D20">
        <w:rPr>
          <w:rFonts w:cstheme="minorHAnsi"/>
        </w:rPr>
        <w:t xml:space="preserve">koszt zaangażowania personelu projektu zatrudnionego jednocześnie na podstawie stosunku pracy w IZ, IP, IW, gdy zachodzi konflikt interesów rozumiany jako naruszenie zasady bezinteresowności i bezstronności w szczególności </w:t>
      </w:r>
      <w:r w:rsidR="00974E2C" w:rsidRPr="00AE11B9">
        <w:rPr>
          <w:rFonts w:cstheme="minorHAnsi"/>
        </w:rPr>
        <w:t xml:space="preserve">poprzez </w:t>
      </w:r>
      <w:r w:rsidRPr="00E93D20">
        <w:rPr>
          <w:rFonts w:cstheme="minorHAnsi"/>
        </w:rPr>
        <w:t>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4C41356F" w14:textId="77777777" w:rsidR="005A5EDA" w:rsidRPr="00E93D20" w:rsidRDefault="005A5EDA" w:rsidP="001C3CAC">
      <w:pPr>
        <w:numPr>
          <w:ilvl w:val="0"/>
          <w:numId w:val="17"/>
        </w:numPr>
        <w:spacing w:after="120"/>
        <w:rPr>
          <w:rFonts w:cstheme="minorHAnsi"/>
        </w:rPr>
      </w:pPr>
      <w:r w:rsidRPr="00E93D20">
        <w:rPr>
          <w:rFonts w:cstheme="minorHAnsi"/>
        </w:rPr>
        <w:t>koszt zaangażowania pracownika Beneficjenta na podstawie umowy cywilnoprawnej innej niż umowa o dzieło, z wyjątkiem:</w:t>
      </w:r>
    </w:p>
    <w:p w14:paraId="7CABC780" w14:textId="77777777" w:rsidR="005A5EDA" w:rsidRPr="00E93D20" w:rsidRDefault="005A5EDA" w:rsidP="001C3CAC">
      <w:pPr>
        <w:numPr>
          <w:ilvl w:val="0"/>
          <w:numId w:val="20"/>
        </w:numPr>
        <w:spacing w:after="120"/>
        <w:rPr>
          <w:rFonts w:cstheme="minorHAnsi"/>
        </w:rPr>
      </w:pPr>
      <w:r w:rsidRPr="00E93D20">
        <w:rPr>
          <w:rFonts w:cstheme="minorHAnsi"/>
        </w:rPr>
        <w:t>przypadków, gdy szczególne przepisy dotyczące zatrudniania danej grupy pracowników uniemożliwiają wykonywanie zadań w ramach projektu na podstawie stosunku pracy,</w:t>
      </w:r>
    </w:p>
    <w:p w14:paraId="65118278" w14:textId="77777777" w:rsidR="005A5EDA" w:rsidRPr="00E93D20" w:rsidRDefault="005A5EDA" w:rsidP="001C3CAC">
      <w:pPr>
        <w:numPr>
          <w:ilvl w:val="0"/>
          <w:numId w:val="20"/>
        </w:numPr>
        <w:spacing w:after="120"/>
        <w:rPr>
          <w:rFonts w:cstheme="minorHAnsi"/>
        </w:rPr>
      </w:pPr>
      <w:r w:rsidRPr="00E93D20">
        <w:rPr>
          <w:rFonts w:cstheme="minorHAnsi"/>
        </w:rPr>
        <w:t>prac badawczo-rozwojowych,</w:t>
      </w:r>
    </w:p>
    <w:p w14:paraId="6BC710EE" w14:textId="77777777" w:rsidR="005A5EDA" w:rsidRPr="00E93D20" w:rsidRDefault="005A5EDA" w:rsidP="001C3CAC">
      <w:pPr>
        <w:numPr>
          <w:ilvl w:val="0"/>
          <w:numId w:val="17"/>
        </w:numPr>
        <w:spacing w:after="120"/>
        <w:rPr>
          <w:rFonts w:cstheme="minorHAnsi"/>
        </w:rPr>
      </w:pPr>
      <w:r w:rsidRPr="00E93D20">
        <w:rPr>
          <w:rFonts w:cstheme="minorHAnsi"/>
        </w:rPr>
        <w:t>transakcje, bez względu na liczbę wynikających z nich płatności, dokonane w gotówce, których wartość przekracza kwotę, o której mowa w art. 19 ustawy z dnia 6 marca 2018 r. Prawo przedsiębiorców,</w:t>
      </w:r>
    </w:p>
    <w:p w14:paraId="37D5E3FD" w14:textId="495580A0" w:rsidR="005A5EDA" w:rsidRPr="009142F8" w:rsidRDefault="005A5EDA" w:rsidP="009142F8">
      <w:pPr>
        <w:numPr>
          <w:ilvl w:val="0"/>
          <w:numId w:val="17"/>
        </w:numPr>
        <w:spacing w:after="120"/>
        <w:rPr>
          <w:rFonts w:cstheme="minorHAnsi"/>
        </w:rPr>
      </w:pPr>
      <w:r w:rsidRPr="00E93D20">
        <w:rPr>
          <w:rFonts w:cstheme="minorHAnsi"/>
        </w:rPr>
        <w:lastRenderedPageBreak/>
        <w:t>zaliczka wypłacona przez Beneficjenta ni</w:t>
      </w:r>
      <w:r w:rsidR="004F03B6" w:rsidRPr="00E93D20">
        <w:rPr>
          <w:rFonts w:cstheme="minorHAnsi"/>
        </w:rPr>
        <w:t xml:space="preserve">ezgodnie z postanowieniami </w:t>
      </w:r>
      <w:r w:rsidR="00396A2A">
        <w:rPr>
          <w:rFonts w:cstheme="minorHAnsi"/>
        </w:rPr>
        <w:t>umowy</w:t>
      </w:r>
      <w:r w:rsidRPr="00E93D20">
        <w:rPr>
          <w:rFonts w:cstheme="minorHAnsi"/>
        </w:rPr>
        <w:t>, lub jeśli element objęty zaliczką nie jest kwalifikowalny lub nie został faktycznie zrealizowany lub dostarczony w okresie kwalifikowalności projektu.</w:t>
      </w:r>
    </w:p>
    <w:p w14:paraId="23984491" w14:textId="77777777" w:rsidR="005A5EDA" w:rsidRPr="00E93D20" w:rsidRDefault="005A5EDA" w:rsidP="001C3CAC">
      <w:pPr>
        <w:pStyle w:val="TreNum-K"/>
        <w:numPr>
          <w:ilvl w:val="0"/>
          <w:numId w:val="23"/>
        </w:numPr>
        <w:jc w:val="left"/>
      </w:pPr>
      <w:r w:rsidRPr="00E93D20">
        <w:t>Ponadto niedozwolone jest podwójne finansowanie wydatków. Podwójne finansowanie oznacza w szczególności:</w:t>
      </w:r>
    </w:p>
    <w:p w14:paraId="238B387B" w14:textId="77777777" w:rsidR="005A5EDA" w:rsidRPr="00E93D20" w:rsidRDefault="005A5EDA" w:rsidP="001C3CAC">
      <w:pPr>
        <w:numPr>
          <w:ilvl w:val="0"/>
          <w:numId w:val="19"/>
        </w:numPr>
        <w:spacing w:after="120"/>
        <w:rPr>
          <w:rFonts w:cstheme="minorHAnsi"/>
        </w:rPr>
      </w:pPr>
      <w:r w:rsidRPr="00E93D20">
        <w:rPr>
          <w:rFonts w:cstheme="minorHAnsi"/>
        </w:rPr>
        <w:t>więcej niż jednokrotne przedstawienie do rozliczenia tego samego wydatku albo tej samej części wydatku ze środków UE w jakiejkolwiek formie (w szczególności dotacji, pożyczki, gwarancji/poręczenia),</w:t>
      </w:r>
    </w:p>
    <w:p w14:paraId="2F029D4D" w14:textId="77777777" w:rsidR="005A5EDA" w:rsidRPr="00E93D20" w:rsidRDefault="005A5EDA" w:rsidP="001C3CAC">
      <w:pPr>
        <w:numPr>
          <w:ilvl w:val="0"/>
          <w:numId w:val="19"/>
        </w:numPr>
        <w:spacing w:after="120"/>
        <w:rPr>
          <w:rFonts w:cstheme="minorHAnsi"/>
        </w:rPr>
      </w:pPr>
      <w:r w:rsidRPr="00E93D20">
        <w:rPr>
          <w:rFonts w:cstheme="minorHAnsi"/>
        </w:rPr>
        <w:t>rozliczenie zakupu używanego środka trwałego, który był uprzednio współfinansowany z udziałem środków UE,</w:t>
      </w:r>
    </w:p>
    <w:p w14:paraId="12596BEA" w14:textId="77777777" w:rsidR="005A5EDA" w:rsidRPr="00E93D20" w:rsidRDefault="005A5EDA" w:rsidP="001C3CAC">
      <w:pPr>
        <w:numPr>
          <w:ilvl w:val="0"/>
          <w:numId w:val="19"/>
        </w:numPr>
        <w:spacing w:after="120"/>
        <w:rPr>
          <w:rFonts w:cstheme="minorHAnsi"/>
        </w:rPr>
      </w:pPr>
      <w:r w:rsidRPr="00E93D20">
        <w:rPr>
          <w:rFonts w:cstheme="minorHAnsi"/>
        </w:rPr>
        <w:t>rozliczenie kosztów amortyzacji środka trwałego uprzednio zakupionego z udziałem środków UE,</w:t>
      </w:r>
    </w:p>
    <w:p w14:paraId="0B8DBACA" w14:textId="77777777" w:rsidR="005A5EDA" w:rsidRPr="00E93D20" w:rsidRDefault="005A5EDA" w:rsidP="001C3CAC">
      <w:pPr>
        <w:numPr>
          <w:ilvl w:val="0"/>
          <w:numId w:val="19"/>
        </w:numPr>
        <w:spacing w:after="120"/>
        <w:rPr>
          <w:rFonts w:cstheme="minorHAnsi"/>
        </w:rPr>
      </w:pPr>
      <w:r w:rsidRPr="00E93D20">
        <w:rPr>
          <w:rFonts w:cstheme="minorHAnsi"/>
        </w:rPr>
        <w:t>rozliczenie wydatku poniesionego przez leasingodawcę na zakup przedmiotu leasingu w ramach leasingu finansowego, a następnie rozliczenie rat opłacanych przez Beneficjenta w związku z leasingiem tego przedmiotu,</w:t>
      </w:r>
    </w:p>
    <w:p w14:paraId="5743957F" w14:textId="77777777" w:rsidR="005A5EDA" w:rsidRPr="00E93D20" w:rsidRDefault="005A5EDA" w:rsidP="001C3CAC">
      <w:pPr>
        <w:numPr>
          <w:ilvl w:val="0"/>
          <w:numId w:val="19"/>
        </w:numPr>
        <w:spacing w:after="120"/>
        <w:rPr>
          <w:rFonts w:cstheme="minorHAnsi"/>
        </w:rPr>
      </w:pPr>
      <w:r w:rsidRPr="00E93D20">
        <w:rPr>
          <w:rFonts w:cstheme="minorHAnsi"/>
        </w:rPr>
        <w:t>objęcie kosztów kwalifikowalnych jednocześnie wsparciem w formie pożyczki i gwarancji/poręczenia,</w:t>
      </w:r>
    </w:p>
    <w:p w14:paraId="56CB193A" w14:textId="77777777" w:rsidR="005A5EDA" w:rsidRPr="00E93D20" w:rsidRDefault="005A5EDA" w:rsidP="001C3CAC">
      <w:pPr>
        <w:numPr>
          <w:ilvl w:val="0"/>
          <w:numId w:val="19"/>
        </w:numPr>
        <w:spacing w:after="120"/>
        <w:rPr>
          <w:rFonts w:cstheme="minorHAnsi"/>
        </w:rPr>
      </w:pPr>
      <w:r w:rsidRPr="00E93D20">
        <w:rPr>
          <w:rFonts w:cstheme="minorHAnsi"/>
        </w:rPr>
        <w:t>rozliczenie tego samego wydatku w kosztach pośrednich projektu oraz kosztach bezpośrednich projektu,</w:t>
      </w:r>
    </w:p>
    <w:p w14:paraId="4893BC15" w14:textId="77777777" w:rsidR="00DA175E" w:rsidRPr="00E93D20" w:rsidRDefault="005A5EDA" w:rsidP="001C3CAC">
      <w:pPr>
        <w:numPr>
          <w:ilvl w:val="0"/>
          <w:numId w:val="19"/>
        </w:numPr>
        <w:spacing w:after="120"/>
        <w:rPr>
          <w:rFonts w:cstheme="minorHAnsi"/>
        </w:rPr>
      </w:pPr>
      <w:r w:rsidRPr="00E93D20">
        <w:rPr>
          <w:rFonts w:cstheme="minorHAnsi"/>
        </w:rPr>
        <w:t>otrzymanie na wydatki kwalifikowalne danego projektu lub części projektu dotacji z kilku źródeł (krajowych, unijnych lub innych) w wysokości łącznie wyższej niż 100% wydatków kwalifikowalnych projektu lub części projektu.</w:t>
      </w:r>
    </w:p>
    <w:p w14:paraId="66A34EB0" w14:textId="77777777" w:rsidR="00985577" w:rsidRPr="00985577" w:rsidRDefault="005A5EDA" w:rsidP="00E33E29">
      <w:pPr>
        <w:pStyle w:val="Podrozdzia-K"/>
        <w:spacing w:line="480" w:lineRule="auto"/>
        <w:ind w:left="340"/>
        <w:jc w:val="left"/>
      </w:pPr>
      <w:bookmarkStart w:id="45" w:name="_Toc134446817"/>
      <w:bookmarkStart w:id="46" w:name="_Toc137810500"/>
      <w:r w:rsidRPr="00940EA3">
        <w:t>Udzielanie</w:t>
      </w:r>
      <w:r w:rsidRPr="005A5EDA">
        <w:t xml:space="preserve"> zamówień w ramach projektu</w:t>
      </w:r>
      <w:bookmarkEnd w:id="45"/>
      <w:bookmarkEnd w:id="46"/>
      <w:r w:rsidR="006E0300">
        <w:t xml:space="preserve"> </w:t>
      </w:r>
    </w:p>
    <w:p w14:paraId="220EA6B5" w14:textId="77777777" w:rsidR="005A5EDA" w:rsidRPr="005A5EDA" w:rsidRDefault="005A5EDA" w:rsidP="001C3CAC">
      <w:pPr>
        <w:rPr>
          <w:rFonts w:cs="Arial"/>
        </w:rPr>
      </w:pPr>
      <w:r w:rsidRPr="005A5EDA">
        <w:rPr>
          <w:rFonts w:cs="Arial"/>
        </w:rPr>
        <w:t>Szczegółowe informacje dotyczące udzielania zamówień w ramach projektów znajdują się w podrozdziale 3.2.</w:t>
      </w:r>
      <w:r w:rsidRPr="005A5EDA">
        <w:rPr>
          <w:rFonts w:cs="Arial"/>
          <w:i/>
          <w:iCs/>
        </w:rPr>
        <w:t xml:space="preserve"> Wytycznych kwalifikowalności</w:t>
      </w:r>
      <w:r w:rsidRPr="005A5EDA">
        <w:rPr>
          <w:rFonts w:cs="Arial"/>
        </w:rPr>
        <w:t xml:space="preserve">. </w:t>
      </w:r>
    </w:p>
    <w:p w14:paraId="271E2F65" w14:textId="77777777" w:rsidR="005A5EDA" w:rsidRPr="005A5EDA" w:rsidRDefault="005A5EDA" w:rsidP="001C3CAC">
      <w:pPr>
        <w:rPr>
          <w:rFonts w:cs="Arial"/>
        </w:rPr>
      </w:pPr>
      <w:r w:rsidRPr="005A5ED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Beneficjent jest zobowiązany do zastosowania odpowiednich  procedur związanych z realizacją zamówień publicznych. </w:t>
      </w:r>
    </w:p>
    <w:p w14:paraId="4C0CEDAA" w14:textId="77777777" w:rsidR="005A5EDA" w:rsidRPr="005A5EDA" w:rsidRDefault="005A5EDA" w:rsidP="001C3CAC">
      <w:pPr>
        <w:spacing w:after="0"/>
        <w:rPr>
          <w:rFonts w:cs="Arial"/>
        </w:rPr>
      </w:pPr>
      <w:r w:rsidRPr="005A5EDA">
        <w:rPr>
          <w:rFonts w:cs="Arial"/>
          <w:i/>
          <w:iCs/>
        </w:rPr>
        <w:lastRenderedPageBreak/>
        <w:t xml:space="preserve">Wytyczne kwalifikowalności </w:t>
      </w:r>
      <w:r w:rsidRPr="005A5EDA">
        <w:rPr>
          <w:rFonts w:cs="Arial"/>
        </w:rPr>
        <w:t xml:space="preserve">wskazują dwie procedury postępowania w zakresie zamówień publicznych: </w:t>
      </w:r>
    </w:p>
    <w:p w14:paraId="27066089" w14:textId="77777777" w:rsidR="005A5EDA" w:rsidRPr="005A5EDA" w:rsidRDefault="005A5EDA" w:rsidP="001C3CAC">
      <w:pPr>
        <w:spacing w:after="0"/>
        <w:rPr>
          <w:rFonts w:cs="Arial"/>
        </w:rPr>
      </w:pPr>
      <w:r w:rsidRPr="005A5EDA">
        <w:rPr>
          <w:rFonts w:cs="Arial"/>
        </w:rPr>
        <w:t xml:space="preserve">a) zasada konkurencyjności; </w:t>
      </w:r>
    </w:p>
    <w:p w14:paraId="3AB23013" w14:textId="77777777" w:rsidR="005A5EDA" w:rsidRPr="005A5EDA" w:rsidRDefault="005A5EDA" w:rsidP="001C3CAC">
      <w:pPr>
        <w:rPr>
          <w:rFonts w:cs="Arial"/>
          <w:i/>
          <w:iCs/>
        </w:rPr>
      </w:pPr>
      <w:r w:rsidRPr="005A5EDA">
        <w:rPr>
          <w:rFonts w:cs="Arial"/>
        </w:rPr>
        <w:t>b) tryby udzielania zamówień przewidziane ustawą PZP.</w:t>
      </w:r>
    </w:p>
    <w:p w14:paraId="60EB2D9B" w14:textId="77777777" w:rsidR="005A5EDA" w:rsidRPr="005A5EDA" w:rsidRDefault="005A5EDA" w:rsidP="001C3CAC">
      <w:pPr>
        <w:rPr>
          <w:rFonts w:cs="Arial"/>
        </w:rPr>
      </w:pPr>
      <w:r w:rsidRPr="005A5EDA">
        <w:rPr>
          <w:rFonts w:cs="Arial"/>
        </w:rPr>
        <w:t xml:space="preserve">W przypadku, gdy Wnioskodawca rozpoczyna realizację projektu przed </w:t>
      </w:r>
      <w:r w:rsidR="00335249">
        <w:rPr>
          <w:rFonts w:cs="Arial"/>
        </w:rPr>
        <w:t xml:space="preserve">przyjęciem </w:t>
      </w:r>
      <w:r w:rsidR="00335249" w:rsidRPr="00EF1C22">
        <w:rPr>
          <w:rFonts w:cs="Arial"/>
        </w:rPr>
        <w:t>Zasad realizacji projektu</w:t>
      </w:r>
      <w:r w:rsidRPr="00EF1C22">
        <w:rPr>
          <w:rFonts w:cs="Arial"/>
        </w:rPr>
        <w:t>, upublicznia zapytanie ofertowe w BK2021.</w:t>
      </w:r>
    </w:p>
    <w:p w14:paraId="394171F2" w14:textId="77777777" w:rsidR="005A5EDA" w:rsidRPr="00EF1C22" w:rsidRDefault="005A5EDA" w:rsidP="001C3CAC">
      <w:pPr>
        <w:rPr>
          <w:rFonts w:cs="Arial"/>
        </w:rPr>
      </w:pPr>
      <w:r w:rsidRPr="00EF1C22">
        <w:rPr>
          <w:rFonts w:cs="Arial"/>
        </w:rPr>
        <w:t xml:space="preserve">Mając na uwadze ścieżkę audytu, Beneficjent przeprowadzając zasadę konkurencyjności ma obowiązek realizować i dokumentować ją w całości na platformie zakupowej Baza konkurencyjności. Samo ogłoszenie (zapytanie ofertowe) może być dodatkowo publikowane w innych miejscach, niemniej z odpowiednim odesłaniem do BK2021. </w:t>
      </w:r>
    </w:p>
    <w:p w14:paraId="1EBD1434" w14:textId="77777777" w:rsidR="005A5EDA" w:rsidRDefault="005A5EDA" w:rsidP="005F7159">
      <w:pPr>
        <w:rPr>
          <w:rFonts w:cs="Arial"/>
          <w:shd w:val="clear" w:color="auto" w:fill="FFFFFF"/>
        </w:rPr>
      </w:pPr>
      <w:r w:rsidRPr="00EF1C22">
        <w:rPr>
          <w:rFonts w:cs="Arial"/>
          <w:shd w:val="clear" w:color="auto" w:fill="FFFFFF"/>
        </w:rPr>
        <w:t xml:space="preserve">Każdy Beneficjent powinien zapamiętać, iż progiem od którego stosować należy zasadę konkurencyjności jest kwota 50 000 zł bez podatku od towarów i usług. Kwota ta odnosi się do zagregowanej, zgodnie z zasadami określonymi w </w:t>
      </w:r>
      <w:r w:rsidRPr="00EF1C22">
        <w:rPr>
          <w:rFonts w:cs="Arial"/>
          <w:i/>
          <w:iCs/>
          <w:shd w:val="clear" w:color="auto" w:fill="FFFFFF"/>
        </w:rPr>
        <w:t>Wytycznych kwalifikowalności</w:t>
      </w:r>
      <w:r w:rsidRPr="00EF1C22">
        <w:rPr>
          <w:rFonts w:cs="Arial"/>
          <w:shd w:val="clear" w:color="auto" w:fill="FFFFFF"/>
        </w:rPr>
        <w:t>, wartości zamówienia a nie wartości pojedynczego zakupu.</w:t>
      </w:r>
    </w:p>
    <w:p w14:paraId="56BCC6B6" w14:textId="77777777" w:rsidR="005A5EDA" w:rsidRDefault="005A5EDA" w:rsidP="001C3CAC">
      <w:pPr>
        <w:rPr>
          <w:rFonts w:cs="Arial"/>
          <w:shd w:val="clear" w:color="auto" w:fill="FFFFFF"/>
        </w:rPr>
      </w:pPr>
      <w:r w:rsidRPr="005F7159">
        <w:rPr>
          <w:rFonts w:cs="Arial"/>
          <w:shd w:val="clear" w:color="auto" w:fill="FFFFFF"/>
        </w:rPr>
        <w:t xml:space="preserve">Zasady konkurencyjności nie stosuje się m.in. do zamówień, do których zastosowanie będzie mieć ustawa – Prawo zamówień publicznych. </w:t>
      </w:r>
    </w:p>
    <w:p w14:paraId="23201A52" w14:textId="77777777" w:rsidR="00D1599D" w:rsidRDefault="00D1599D" w:rsidP="00D1599D">
      <w:pPr>
        <w:spacing w:after="0"/>
      </w:pPr>
      <w:r>
        <w:t>W przypadku zakupu towaru, usług lub dostaw do wysokości 50 tys. zł netto,</w:t>
      </w:r>
    </w:p>
    <w:p w14:paraId="219E8C57" w14:textId="77777777" w:rsidR="00D1599D" w:rsidRPr="005F7159" w:rsidRDefault="00D1599D" w:rsidP="00D1599D">
      <w:r>
        <w:t xml:space="preserve">beneficjent stosuje swoje wewnętrzne procedury. </w:t>
      </w:r>
    </w:p>
    <w:p w14:paraId="5A7AA332" w14:textId="77777777" w:rsidR="005A5EDA" w:rsidRPr="005F7159" w:rsidRDefault="005A5EDA" w:rsidP="001C3CAC">
      <w:r w:rsidRPr="005F7159">
        <w:rPr>
          <w:rFonts w:cs="Arial"/>
          <w:shd w:val="clear" w:color="auto" w:fill="FFFFFF"/>
        </w:rPr>
        <w:t>Pozostałe podmioty takie jak np.: fundacje, stowarzyszenia, firmy jednoosobowe, spółki prawa handlowego i cywilnego etc., stosują zasadę konkurencyjności dla zamówień przekraczających 50 000 zł bez podatku od towarów i usług.</w:t>
      </w:r>
    </w:p>
    <w:p w14:paraId="2DD39AD8" w14:textId="77777777" w:rsidR="005A5EDA" w:rsidRPr="005F7159" w:rsidRDefault="005A5EDA" w:rsidP="001C3CAC">
      <w:pPr>
        <w:rPr>
          <w:rFonts w:cs="Arial"/>
          <w:shd w:val="clear" w:color="auto" w:fill="FFFFFF"/>
        </w:rPr>
      </w:pPr>
      <w:r w:rsidRPr="005F7159">
        <w:rPr>
          <w:rFonts w:cs="Arial"/>
          <w:i/>
          <w:iCs/>
          <w:shd w:val="clear" w:color="auto" w:fill="FFFFFF"/>
        </w:rPr>
        <w:t xml:space="preserve">Wytyczne kwalifikowalności </w:t>
      </w:r>
      <w:r w:rsidRPr="005F7159">
        <w:rPr>
          <w:rFonts w:cs="Arial"/>
          <w:shd w:val="clear" w:color="auto" w:fill="FFFFFF"/>
        </w:rPr>
        <w:t>dopuszczają szereg sytuacji, w których Beneficjent będzie mógł odstąpić  od stosowania zasady konkurencyjności. Są to tzw. wyłączenia, których zamknięty katalog zamieszc</w:t>
      </w:r>
      <w:r w:rsidR="0086171E" w:rsidRPr="005F7159">
        <w:rPr>
          <w:rFonts w:cs="Arial"/>
          <w:shd w:val="clear" w:color="auto" w:fill="FFFFFF"/>
        </w:rPr>
        <w:t>zono w sekcji 3.2.1 Wytycznych kwalifikowalności.</w:t>
      </w:r>
    </w:p>
    <w:p w14:paraId="29E8169A" w14:textId="77777777" w:rsidR="00985577" w:rsidRPr="005F7159" w:rsidRDefault="005A5EDA" w:rsidP="001C3CAC">
      <w:pPr>
        <w:rPr>
          <w:rFonts w:cs="Arial"/>
          <w:bCs/>
          <w:shd w:val="clear" w:color="auto" w:fill="FFFFFF"/>
        </w:rPr>
      </w:pPr>
      <w:r w:rsidRPr="00303BC6">
        <w:rPr>
          <w:rFonts w:cs="Arial"/>
          <w:b/>
          <w:shd w:val="clear" w:color="auto" w:fill="FFFFFF"/>
        </w:rPr>
        <w:t>Zapamiętać należy, że poszczególne wyłączenia, jak każde wyjątki od określonej zasady, traktować należy bardzo wąsko i nie powinniśmy dokonywać ich rozszerzającej wykładni</w:t>
      </w:r>
      <w:r w:rsidRPr="005F7159">
        <w:rPr>
          <w:rFonts w:cs="Arial"/>
          <w:bCs/>
          <w:shd w:val="clear" w:color="auto" w:fill="FFFFFF"/>
        </w:rPr>
        <w:t>. </w:t>
      </w:r>
    </w:p>
    <w:p w14:paraId="47B7EC62" w14:textId="77777777" w:rsidR="00D6679F" w:rsidRPr="00D6679F" w:rsidRDefault="00763677" w:rsidP="00E33E29">
      <w:pPr>
        <w:pStyle w:val="Rozdzia-K"/>
        <w:spacing w:line="480" w:lineRule="auto"/>
        <w:ind w:left="0"/>
        <w:jc w:val="left"/>
      </w:pPr>
      <w:r>
        <w:t xml:space="preserve"> </w:t>
      </w:r>
      <w:bookmarkStart w:id="47" w:name="_Toc137810501"/>
      <w:r w:rsidR="00EF6633" w:rsidRPr="00940EA3">
        <w:t>Wybór</w:t>
      </w:r>
      <w:r w:rsidR="00EF6633">
        <w:t xml:space="preserve"> projektu do dofinansowania</w:t>
      </w:r>
      <w:r w:rsidR="00125EE4">
        <w:t xml:space="preserve"> i rozstrzygnięcie naboru</w:t>
      </w:r>
      <w:bookmarkEnd w:id="47"/>
      <w:r w:rsidR="00D1599D">
        <w:t xml:space="preserve"> </w:t>
      </w:r>
    </w:p>
    <w:p w14:paraId="75F44EA7" w14:textId="77777777" w:rsidR="001C1F27" w:rsidRPr="00337BB6" w:rsidRDefault="00D41FCC" w:rsidP="001C3CAC">
      <w:pPr>
        <w:rPr>
          <w:rFonts w:cs="Arial"/>
        </w:rPr>
      </w:pPr>
      <w:r>
        <w:rPr>
          <w:rFonts w:cs="Arial"/>
        </w:rPr>
        <w:t xml:space="preserve">Wybór </w:t>
      </w:r>
      <w:r w:rsidR="00337BB6" w:rsidRPr="00BA638B">
        <w:rPr>
          <w:rFonts w:cs="Arial"/>
        </w:rPr>
        <w:t>projektu odbywa się w sposób niekonkurencyjny.</w:t>
      </w:r>
      <w:r w:rsidR="00337BB6">
        <w:rPr>
          <w:rFonts w:cs="Arial"/>
        </w:rPr>
        <w:t xml:space="preserve"> </w:t>
      </w:r>
      <w:r w:rsidR="00337BB6" w:rsidRPr="00A21814">
        <w:rPr>
          <w:rFonts w:cs="Arial"/>
        </w:rPr>
        <w:t>Celem postępowania w ramach naboru jest</w:t>
      </w:r>
      <w:r w:rsidR="003557AF">
        <w:rPr>
          <w:rFonts w:cs="Arial"/>
        </w:rPr>
        <w:t xml:space="preserve"> wybór</w:t>
      </w:r>
      <w:r w:rsidR="00337BB6" w:rsidRPr="00BA638B">
        <w:rPr>
          <w:rFonts w:cs="Arial"/>
        </w:rPr>
        <w:t xml:space="preserve"> do dofinansowania projektu</w:t>
      </w:r>
      <w:r w:rsidR="003557AF">
        <w:rPr>
          <w:rFonts w:cs="Arial"/>
        </w:rPr>
        <w:t xml:space="preserve"> </w:t>
      </w:r>
      <w:r w:rsidR="003557AF" w:rsidRPr="00017D36">
        <w:t>strategicznego</w:t>
      </w:r>
      <w:r w:rsidR="003557AF">
        <w:t xml:space="preserve"> </w:t>
      </w:r>
      <w:r w:rsidR="003557AF" w:rsidRPr="00017D36">
        <w:t>„POTRAFIĘ-DECYDUJĘ-DZIAŁAM program wspierania aktywności i inicjatyw młodzieży w w</w:t>
      </w:r>
      <w:r w:rsidR="003557AF">
        <w:t>ojewództwie warmińsko-mazurskim</w:t>
      </w:r>
      <w:r w:rsidR="003557AF" w:rsidRPr="00017D36">
        <w:t>”</w:t>
      </w:r>
      <w:r w:rsidR="00337BB6" w:rsidRPr="00BA638B">
        <w:rPr>
          <w:rFonts w:cs="Arial"/>
        </w:rPr>
        <w:t>.</w:t>
      </w:r>
      <w:r w:rsidR="00337BB6">
        <w:rPr>
          <w:rFonts w:cs="Arial"/>
        </w:rPr>
        <w:t xml:space="preserve"> </w:t>
      </w:r>
      <w:r w:rsidR="00337BB6" w:rsidRPr="00BA638B">
        <w:rPr>
          <w:rFonts w:cs="Arial"/>
        </w:rPr>
        <w:t xml:space="preserve">Wniosek o dofinansowanie zostanie oceniony przez KOP pod względem </w:t>
      </w:r>
      <w:r w:rsidR="00337BB6" w:rsidRPr="00BA638B">
        <w:rPr>
          <w:rFonts w:cs="Arial"/>
        </w:rPr>
        <w:lastRenderedPageBreak/>
        <w:t>spełni</w:t>
      </w:r>
      <w:r w:rsidR="00337BB6">
        <w:rPr>
          <w:rFonts w:cs="Arial"/>
        </w:rPr>
        <w:t>enia kryteriów wyboru projektów stanowiących załącznik nr 1 do Regulaminu wyboru projektów.</w:t>
      </w:r>
    </w:p>
    <w:p w14:paraId="387A61D1" w14:textId="77777777" w:rsidR="007010C9" w:rsidRPr="007010C9" w:rsidRDefault="00BA230C" w:rsidP="00E33E29">
      <w:pPr>
        <w:pStyle w:val="Podrozdzia-K"/>
        <w:spacing w:line="480" w:lineRule="auto"/>
        <w:ind w:left="340"/>
        <w:jc w:val="left"/>
      </w:pPr>
      <w:bookmarkStart w:id="48" w:name="_Toc137810502"/>
      <w:r w:rsidRPr="00940EA3">
        <w:t>Opis</w:t>
      </w:r>
      <w:r>
        <w:t xml:space="preserve"> procedury oceny projektów</w:t>
      </w:r>
      <w:bookmarkEnd w:id="48"/>
      <w:r w:rsidR="001C34A8">
        <w:t xml:space="preserve"> </w:t>
      </w:r>
    </w:p>
    <w:p w14:paraId="4A076039" w14:textId="77777777" w:rsidR="00AE48CA" w:rsidRDefault="00AE48CA" w:rsidP="001C3CAC">
      <w:pPr>
        <w:pStyle w:val="Akapitzlist"/>
        <w:numPr>
          <w:ilvl w:val="0"/>
          <w:numId w:val="36"/>
        </w:numPr>
        <w:spacing w:after="200"/>
        <w:ind w:left="284"/>
        <w:rPr>
          <w:rFonts w:eastAsia="Calibri" w:cs="Arial"/>
        </w:rPr>
      </w:pPr>
      <w:r>
        <w:t>O</w:t>
      </w:r>
      <w:r w:rsidRPr="001A5735">
        <w:rPr>
          <w:rFonts w:eastAsia="Calibri" w:cs="Arial"/>
        </w:rPr>
        <w:t>ceny spełnienia kryteriów wyboru projektów złożonych w ramach naboru dokonuje niezależnie dwóch wylosowanych członków KOP</w:t>
      </w:r>
      <w:r w:rsidR="003557AF">
        <w:rPr>
          <w:rFonts w:eastAsia="Calibri" w:cs="Arial"/>
        </w:rPr>
        <w:t xml:space="preserve"> będących ekspertami zewnętrznymi</w:t>
      </w:r>
      <w:r>
        <w:rPr>
          <w:rFonts w:eastAsia="Calibri" w:cs="Arial"/>
        </w:rPr>
        <w:t>.</w:t>
      </w:r>
    </w:p>
    <w:p w14:paraId="1803479F" w14:textId="77777777" w:rsidR="00AE48CA" w:rsidRDefault="00AE48CA" w:rsidP="001C3CAC">
      <w:pPr>
        <w:pStyle w:val="Akapitzlist"/>
        <w:numPr>
          <w:ilvl w:val="0"/>
          <w:numId w:val="36"/>
        </w:numPr>
        <w:spacing w:after="200"/>
        <w:ind w:left="284"/>
        <w:rPr>
          <w:rFonts w:eastAsia="Calibri" w:cs="Arial"/>
        </w:rPr>
      </w:pPr>
      <w:r w:rsidRPr="0001740F">
        <w:rPr>
          <w:rFonts w:eastAsia="Calibri" w:cs="Arial"/>
        </w:rPr>
        <w:t>Przewodniczącym KOP, jego Zastępcą oraz Sekretarzem KOP są pracownicy IZ.</w:t>
      </w:r>
    </w:p>
    <w:p w14:paraId="50DF5B3A" w14:textId="77777777" w:rsidR="00AE48CA" w:rsidRPr="00985577" w:rsidRDefault="00AE48CA" w:rsidP="001C3CAC">
      <w:pPr>
        <w:pStyle w:val="Akapitzlist"/>
        <w:numPr>
          <w:ilvl w:val="0"/>
          <w:numId w:val="36"/>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003557AF">
        <w:rPr>
          <w:rFonts w:eastAsia="Calibri" w:cs="Arial"/>
        </w:rPr>
        <w:t>wniosku</w:t>
      </w:r>
      <w:r w:rsidRPr="0001740F">
        <w:rPr>
          <w:rFonts w:eastAsia="Calibri" w:cs="Arial"/>
        </w:rPr>
        <w:t xml:space="preserve"> o dofinansowanie, jak również opis sposobu przeprowadzenia procedury losowania członków KOP dokonujących oceny, o</w:t>
      </w:r>
      <w:r w:rsidR="00B564E8">
        <w:rPr>
          <w:rFonts w:eastAsia="Calibri" w:cs="Arial"/>
        </w:rPr>
        <w:t xml:space="preserve">kreśla </w:t>
      </w:r>
      <w:r w:rsidR="00B564E8" w:rsidRPr="00985577">
        <w:rPr>
          <w:rFonts w:eastAsia="Calibri" w:cs="Arial"/>
        </w:rPr>
        <w:t>Regulamin</w:t>
      </w:r>
      <w:r w:rsidRPr="00985577">
        <w:rPr>
          <w:rFonts w:eastAsia="Calibri" w:cs="Arial"/>
        </w:rPr>
        <w:t xml:space="preserve"> K</w:t>
      </w:r>
      <w:r w:rsidR="00985577">
        <w:rPr>
          <w:rFonts w:eastAsia="Calibri" w:cs="Arial"/>
        </w:rPr>
        <w:t>omisji Oceny Projektów w ramach procedury konkurencyjnej i niekonkurencyjnej dla</w:t>
      </w:r>
      <w:r w:rsidR="00D94F1A">
        <w:rPr>
          <w:rFonts w:eastAsia="Calibri" w:cs="Arial"/>
        </w:rPr>
        <w:t xml:space="preserve"> </w:t>
      </w:r>
      <w:r w:rsidR="00D94F1A">
        <w:t>Działań w ramach programu Fundusze Europejskie dla Warmii i Mazur 2021-2027</w:t>
      </w:r>
      <w:r w:rsidRPr="00985577">
        <w:rPr>
          <w:rFonts w:eastAsia="Calibri" w:cs="Arial"/>
        </w:rPr>
        <w:t>. Wyniki tego losowania zawier</w:t>
      </w:r>
      <w:r w:rsidR="00927ECA">
        <w:rPr>
          <w:rFonts w:eastAsia="Calibri" w:cs="Arial"/>
        </w:rPr>
        <w:t>a natomiast Protokół z</w:t>
      </w:r>
      <w:r w:rsidRPr="00985577">
        <w:rPr>
          <w:rFonts w:eastAsia="Calibri" w:cs="Arial"/>
        </w:rPr>
        <w:t xml:space="preserve"> prac KOP. </w:t>
      </w:r>
    </w:p>
    <w:p w14:paraId="23BBB051" w14:textId="77777777" w:rsidR="007010C9" w:rsidRPr="00AE48CA" w:rsidRDefault="007010C9" w:rsidP="001C3CAC">
      <w:pPr>
        <w:pStyle w:val="Akapitzlist"/>
        <w:numPr>
          <w:ilvl w:val="0"/>
          <w:numId w:val="36"/>
        </w:numPr>
        <w:spacing w:after="200"/>
        <w:ind w:left="284"/>
        <w:rPr>
          <w:rFonts w:eastAsia="Calibri" w:cs="Arial"/>
        </w:rPr>
      </w:pPr>
      <w:r>
        <w:t>Ocena formalno-merytoryczna odbywa się na zas</w:t>
      </w:r>
      <w:r w:rsidR="003557AF">
        <w:t>adach określonych w Regulaminie</w:t>
      </w:r>
      <w:r w:rsidR="00AE48CA">
        <w:t xml:space="preserve"> KOP</w:t>
      </w:r>
      <w:r w:rsidR="00D94F1A">
        <w:t>.</w:t>
      </w:r>
    </w:p>
    <w:p w14:paraId="7267CAA5" w14:textId="77777777" w:rsidR="007010C9" w:rsidRPr="00CE7AFA" w:rsidRDefault="007010C9" w:rsidP="001C3CAC">
      <w:pPr>
        <w:pStyle w:val="Akapitzlist"/>
        <w:numPr>
          <w:ilvl w:val="0"/>
          <w:numId w:val="36"/>
        </w:numPr>
        <w:spacing w:after="200"/>
        <w:ind w:left="284"/>
        <w:rPr>
          <w:rFonts w:eastAsia="Calibri" w:cs="Arial"/>
        </w:rPr>
      </w:pPr>
      <w:r>
        <w:t>Ocena formalno-merytoryczna</w:t>
      </w:r>
      <w:r w:rsidR="00780AA1">
        <w:t xml:space="preserve"> wniosku zostanie przeprowadzona w terminie 59 dni od dnia złożenia wniosku.</w:t>
      </w:r>
      <w:r w:rsidR="00AE48CA">
        <w:t xml:space="preserve"> Należy </w:t>
      </w:r>
      <w:r w:rsidR="00AE48CA" w:rsidRPr="00AE48CA">
        <w:rPr>
          <w:rFonts w:eastAsia="Calibri"/>
        </w:rPr>
        <w:t>również pamiętać, że każda kolejna wersja wniosku będzie podlegała ponownej ocenie.</w:t>
      </w:r>
    </w:p>
    <w:p w14:paraId="12D61720" w14:textId="77777777" w:rsidR="00CE7AFA" w:rsidRPr="00CE7AFA" w:rsidRDefault="00CE7AFA" w:rsidP="001C3CAC">
      <w:pPr>
        <w:pStyle w:val="Akapitzlist"/>
        <w:numPr>
          <w:ilvl w:val="0"/>
          <w:numId w:val="36"/>
        </w:numPr>
        <w:spacing w:after="200"/>
        <w:ind w:left="284"/>
        <w:rPr>
          <w:rFonts w:eastAsia="Calibri" w:cs="Arial"/>
        </w:rPr>
      </w:pPr>
      <w:r w:rsidRPr="00CE7AFA">
        <w:rPr>
          <w:rFonts w:eastAsia="Times New Roman"/>
          <w:bCs/>
          <w:szCs w:val="20"/>
        </w:rPr>
        <w:t xml:space="preserve">Podczas oceny formalno-merytorycznej następuje sprawdzenie, czy wniosek o dofinansowanie projektu spełnia kryteria określone </w:t>
      </w:r>
      <w:r w:rsidRPr="00962FC9">
        <w:t>w załączniku nr 1</w:t>
      </w:r>
      <w:r w:rsidRPr="00737D1D">
        <w:t xml:space="preserve"> do niniejszego Regulaminu wyboru projektów</w:t>
      </w:r>
      <w:r w:rsidRPr="00CE7AFA">
        <w:rPr>
          <w:rFonts w:eastAsia="Times New Roman"/>
          <w:bCs/>
          <w:szCs w:val="20"/>
        </w:rPr>
        <w:t>:</w:t>
      </w:r>
    </w:p>
    <w:p w14:paraId="3A41F1C7" w14:textId="77777777" w:rsidR="00CE7AFA" w:rsidRPr="00CE7AFA" w:rsidRDefault="00CE7AFA" w:rsidP="001C3CAC">
      <w:pPr>
        <w:pStyle w:val="TreNum-K"/>
        <w:numPr>
          <w:ilvl w:val="1"/>
          <w:numId w:val="37"/>
        </w:numPr>
        <w:jc w:val="left"/>
        <w:rPr>
          <w:rFonts w:eastAsia="Times New Roman"/>
          <w:szCs w:val="20"/>
        </w:rPr>
      </w:pPr>
      <w:r w:rsidRPr="00583A03">
        <w:rPr>
          <w:b/>
        </w:rPr>
        <w:t>Kryteria ogólne zerojedynkowe</w:t>
      </w:r>
      <w:r w:rsidRPr="00737D1D">
        <w:t xml:space="preserve"> – </w:t>
      </w:r>
      <w:r w:rsidRPr="00D94F1A">
        <w:rPr>
          <w:rFonts w:eastAsia="Times New Roman"/>
        </w:rPr>
        <w:t>o</w:t>
      </w:r>
      <w:r w:rsidRPr="00D94F1A">
        <w:rPr>
          <w:lang w:eastAsia="pl-PL"/>
        </w:rPr>
        <w:t>cena polega na przypisaniu im wartości logicznych „tak”, „nie”, „do negocjacji” (o ile przewidziano taką możliwość) albo stwierdzeniu, że 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0EE54041" w14:textId="77777777" w:rsidR="00CE7AFA" w:rsidRPr="00CE7AFA" w:rsidRDefault="00CE7AFA" w:rsidP="001C3CAC">
      <w:pPr>
        <w:pStyle w:val="TreNum-K"/>
        <w:numPr>
          <w:ilvl w:val="1"/>
          <w:numId w:val="37"/>
        </w:numPr>
        <w:jc w:val="left"/>
        <w:rPr>
          <w:rFonts w:eastAsia="Times New Roman"/>
          <w:szCs w:val="20"/>
        </w:rPr>
      </w:pPr>
      <w:r w:rsidRPr="00CE7AFA">
        <w:rPr>
          <w:b/>
        </w:rPr>
        <w:t>Kryteria ogólne punktowe</w:t>
      </w:r>
      <w:r w:rsidRPr="00737D1D">
        <w:t xml:space="preserve"> - </w:t>
      </w:r>
      <w:r>
        <w:t>ocena</w:t>
      </w:r>
      <w:r>
        <w:rPr>
          <w:rFonts w:cstheme="minorHAnsi"/>
        </w:rPr>
        <w:t xml:space="preserve"> spełnienia</w:t>
      </w:r>
      <w:r w:rsidRPr="00CE7AFA">
        <w:rPr>
          <w:rFonts w:cstheme="minorHAnsi"/>
        </w:rPr>
        <w:t xml:space="preserve"> kryterium polega na przypisaniu mu wartości logicznych „spełnia” lub „nie spełnia” co oznacza, że Wnioskodawca ma możliwość uzupełnienia/ poprawy projektu w zakresie spełniania kryterium.</w:t>
      </w:r>
      <w:r>
        <w:rPr>
          <w:rFonts w:cstheme="minorHAnsi"/>
        </w:rPr>
        <w:t xml:space="preserve"> </w:t>
      </w:r>
      <w:r w:rsidRPr="00CE7AFA">
        <w:rPr>
          <w:rFonts w:cstheme="minorHAnsi"/>
        </w:rPr>
        <w:t>Mają one charakter obligatoryjny i ich spełnienie jest niezbędne do przyznania dofinansowania.</w:t>
      </w:r>
    </w:p>
    <w:p w14:paraId="0BDEB2BE" w14:textId="77777777" w:rsidR="00CE7AFA" w:rsidRPr="00CE7AFA" w:rsidRDefault="00CE7AFA" w:rsidP="001C3CAC">
      <w:pPr>
        <w:pStyle w:val="TreNum-K"/>
        <w:numPr>
          <w:ilvl w:val="1"/>
          <w:numId w:val="35"/>
        </w:numPr>
        <w:jc w:val="left"/>
        <w:rPr>
          <w:rFonts w:eastAsia="Calibri"/>
          <w:bCs/>
          <w:lang w:eastAsia="pl-PL"/>
        </w:rPr>
      </w:pPr>
      <w:r w:rsidRPr="00737D1D">
        <w:rPr>
          <w:b/>
        </w:rPr>
        <w:t>Kryteria specyficzne dostępu</w:t>
      </w:r>
      <w:r w:rsidRPr="00737D1D">
        <w:t xml:space="preserve"> </w:t>
      </w:r>
      <w:r w:rsidR="00D94F1A">
        <w:t>–</w:t>
      </w:r>
      <w:r w:rsidRPr="00737D1D">
        <w:t xml:space="preserve"> </w:t>
      </w:r>
      <w:r w:rsidR="00D94F1A">
        <w:t xml:space="preserve">ocena spełnienia kryterium polega na przypisaniu mu wartości logicznych „spełnia” lub „do uzupełnienia/poprawy” co oznacza, że Wnioskodawca ma możliwość uzupełnienia/poprawy projektu w zakresie spełnienia kryterium. </w:t>
      </w:r>
      <w:r w:rsidRPr="00737D1D">
        <w:rPr>
          <w:lang w:eastAsia="pl-PL"/>
        </w:rPr>
        <w:t>Mają one charakter obligatoryjny i ich spełnienie jest niezbędne do przyznania dofinansowania</w:t>
      </w:r>
      <w:r>
        <w:rPr>
          <w:lang w:eastAsia="pl-PL"/>
        </w:rPr>
        <w:t>.</w:t>
      </w:r>
    </w:p>
    <w:p w14:paraId="797BCE2E" w14:textId="77777777" w:rsidR="00D610E2" w:rsidRPr="00D610E2" w:rsidRDefault="00D610E2" w:rsidP="001C3CAC">
      <w:pPr>
        <w:pStyle w:val="Akapitzlist"/>
        <w:numPr>
          <w:ilvl w:val="0"/>
          <w:numId w:val="36"/>
        </w:numPr>
        <w:spacing w:after="200"/>
        <w:ind w:left="284"/>
        <w:rPr>
          <w:rFonts w:eastAsia="Calibri" w:cs="Arial"/>
        </w:rPr>
      </w:pPr>
      <w:r>
        <w:rPr>
          <w:rFonts w:eastAsia="Calibri" w:cs="Arial"/>
        </w:rPr>
        <w:t xml:space="preserve">W </w:t>
      </w:r>
      <w:r w:rsidRPr="00737D1D">
        <w:t>przypadku wystąpienia</w:t>
      </w:r>
      <w:r w:rsidRPr="00D610E2">
        <w:t xml:space="preserve"> </w:t>
      </w:r>
      <w:r w:rsidRPr="00D610E2">
        <w:rPr>
          <w:bCs/>
        </w:rPr>
        <w:t>rozbieżności</w:t>
      </w:r>
      <w:r w:rsidRPr="00737D1D">
        <w:t xml:space="preserve"> w ocenie kryteriów ogólnych </w:t>
      </w:r>
      <w:r>
        <w:t xml:space="preserve">i/lub specyficznych </w:t>
      </w:r>
      <w:r w:rsidRPr="00737D1D">
        <w:t>tj.</w:t>
      </w:r>
      <w:r>
        <w:t> </w:t>
      </w:r>
      <w:r w:rsidRPr="00737D1D">
        <w:t>w</w:t>
      </w:r>
      <w:r>
        <w:t> </w:t>
      </w:r>
      <w:r w:rsidRPr="00737D1D">
        <w:t xml:space="preserve">sytuacji, w której jeden z oceniających uznaje kryterium za spełnione, zaś drugi </w:t>
      </w:r>
      <w:r w:rsidRPr="00737D1D">
        <w:lastRenderedPageBreak/>
        <w:t>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1DA1AC88" w14:textId="77777777" w:rsidR="00780AA1" w:rsidRPr="00AE48CA" w:rsidRDefault="00780AA1" w:rsidP="001C3CAC">
      <w:pPr>
        <w:pStyle w:val="Akapitzlist"/>
        <w:numPr>
          <w:ilvl w:val="0"/>
          <w:numId w:val="36"/>
        </w:numPr>
        <w:spacing w:after="200"/>
        <w:ind w:left="284"/>
        <w:rPr>
          <w:rFonts w:eastAsia="Calibri" w:cs="Arial"/>
        </w:rPr>
      </w:pPr>
      <w:r w:rsidRPr="00737D1D">
        <w:rPr>
          <w:lang w:eastAsia="pl-PL"/>
        </w:rPr>
        <w:t>W przypadku stwierdzenia we wniosku o dofinansowanie oczywistej omyłki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bookmarkStart w:id="49" w:name="_Hlk133399498"/>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podstawie wersji, która została przekazana do uzupełnienia lub poprawienia</w:t>
      </w:r>
      <w:bookmarkEnd w:id="49"/>
      <w:r w:rsidRPr="00E516EB">
        <w:rPr>
          <w:lang w:eastAsia="pl-PL"/>
        </w:rPr>
        <w:t xml:space="preserve">.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00AE48CA">
        <w:rPr>
          <w:lang w:eastAsia="pl-PL"/>
        </w:rPr>
        <w:t>tym Wnioskodawcę.</w:t>
      </w:r>
    </w:p>
    <w:p w14:paraId="5E648D95" w14:textId="77777777" w:rsidR="00CF73D4" w:rsidRPr="00CF73D4" w:rsidRDefault="00780AA1" w:rsidP="001C3CAC">
      <w:pPr>
        <w:pStyle w:val="Akapitzlist"/>
        <w:numPr>
          <w:ilvl w:val="0"/>
          <w:numId w:val="36"/>
        </w:numPr>
        <w:spacing w:after="200"/>
        <w:ind w:left="284"/>
        <w:rPr>
          <w:rFonts w:eastAsia="Calibri" w:cs="Arial"/>
        </w:rPr>
      </w:pPr>
      <w:r>
        <w:t>W ocenie kryteriów ogólnych oraz specyficznych</w:t>
      </w:r>
      <w:r w:rsidR="00F97DC5">
        <w:t xml:space="preserve"> dostępu</w:t>
      </w:r>
      <w:r>
        <w:t xml:space="preserve"> dopuszcza się możliwość uzupełnienia lub poprawienia wniosku o dofinansowanie projektu w części dotyczącej spełniania danego </w:t>
      </w:r>
      <w:r w:rsidR="00AF499A">
        <w:t>kryterium w zakresie wskazanym w KOF-M</w:t>
      </w:r>
      <w:r>
        <w:t xml:space="preserve">. Informacja o tym, co będzie podlegało możliwości uzupełnienia lub poprawy, jest zawarta w </w:t>
      </w:r>
      <w:r w:rsidR="00AE48CA">
        <w:t>zał. nr 1 do Regulaminu</w:t>
      </w:r>
      <w:r>
        <w:t xml:space="preserve"> wyboru projektów w opisie poszczególnych kryteriów </w:t>
      </w:r>
      <w:r w:rsidR="00AE48CA">
        <w:t>ogólnych i specyficznych</w:t>
      </w:r>
      <w:r w:rsidR="005B100E">
        <w:t xml:space="preserve"> dostępu</w:t>
      </w:r>
      <w:r>
        <w:t>. Uzupełnienie lub poprawa</w:t>
      </w:r>
      <w:r w:rsidR="00AE48CA">
        <w:t xml:space="preserve"> wniosku o dofinansowanie przez </w:t>
      </w:r>
      <w:r>
        <w:t xml:space="preserve">wnioskodawcę będzie możliwa w trakcie oceny formalno-merytorycznej. </w:t>
      </w:r>
    </w:p>
    <w:p w14:paraId="52988577" w14:textId="77777777" w:rsidR="00D94F1A" w:rsidRPr="00D94F1A" w:rsidRDefault="00CF73D4" w:rsidP="001C3CAC">
      <w:pPr>
        <w:pStyle w:val="Akapitzlist"/>
        <w:numPr>
          <w:ilvl w:val="0"/>
          <w:numId w:val="36"/>
        </w:numPr>
        <w:spacing w:after="200"/>
        <w:ind w:left="284"/>
      </w:pPr>
      <w:r>
        <w:t>W przypad</w:t>
      </w:r>
      <w:r w:rsidR="00D94F1A">
        <w:t xml:space="preserve">ku niespełnienia któregokolwiek </w:t>
      </w:r>
      <w:r w:rsidR="00D94F1A" w:rsidRPr="00D94F1A">
        <w:t>z kryteriów formalnych lub merytorycznych, wnioskodawca zostaje wezwany drogą elektroniczną do uzupełnienia lub poprawienia wniosku o dofinansowanie w terminie wyznaczonym przez Przewodniczącego KOP.</w:t>
      </w:r>
    </w:p>
    <w:p w14:paraId="4044F521" w14:textId="77777777" w:rsidR="00D94F1A" w:rsidRPr="00AF499A" w:rsidRDefault="00CF73D4" w:rsidP="001C3CAC">
      <w:pPr>
        <w:pStyle w:val="Akapitzlist"/>
        <w:numPr>
          <w:ilvl w:val="0"/>
          <w:numId w:val="36"/>
        </w:numPr>
        <w:spacing w:after="200"/>
        <w:ind w:left="284"/>
      </w:pPr>
      <w:r>
        <w:t>Ostateczna w</w:t>
      </w:r>
      <w:r w:rsidR="00D94F1A">
        <w:t xml:space="preserve">ersja wniosku o dofinansowanie </w:t>
      </w:r>
      <w:r w:rsidR="00D94F1A" w:rsidRPr="00D94F1A">
        <w:t>musi uzyskać pozytywną ocenę obu ekspertów, aby możliwe było rekomendowanie go do dofinansowania.</w:t>
      </w:r>
    </w:p>
    <w:p w14:paraId="307CD718" w14:textId="77777777" w:rsidR="000D5209" w:rsidRPr="000D5209" w:rsidRDefault="000D5209" w:rsidP="001C3CAC">
      <w:pPr>
        <w:pStyle w:val="Akapitzlist"/>
        <w:numPr>
          <w:ilvl w:val="0"/>
          <w:numId w:val="36"/>
        </w:numPr>
        <w:spacing w:after="200"/>
        <w:ind w:left="284"/>
        <w:rPr>
          <w:rFonts w:eastAsia="Calibri" w:cs="Arial"/>
        </w:rPr>
      </w:pPr>
      <w:r>
        <w:t>Pozytywna ocena formalno-merytoryczna oznacza spełnienie przez projekt wszystkich kryteriów ogólnych i specyficznych i jest równoznaczna z zakończeniem etapu oceny formalno-merytorycznej.</w:t>
      </w:r>
    </w:p>
    <w:p w14:paraId="405480F8" w14:textId="77777777" w:rsidR="00125EE4" w:rsidRDefault="00125EE4" w:rsidP="001C3CAC">
      <w:pPr>
        <w:pStyle w:val="Akapitzlist"/>
        <w:numPr>
          <w:ilvl w:val="0"/>
          <w:numId w:val="36"/>
        </w:numPr>
        <w:spacing w:after="200"/>
        <w:ind w:left="284"/>
        <w:rPr>
          <w:rFonts w:eastAsia="Calibri" w:cs="Arial"/>
        </w:rPr>
      </w:pPr>
      <w:r>
        <w:rPr>
          <w:rFonts w:eastAsia="Calibri" w:cs="Arial"/>
        </w:rPr>
        <w:t xml:space="preserve">Wnioskodawca </w:t>
      </w:r>
      <w:r w:rsidR="00D86A7A">
        <w:rPr>
          <w:rFonts w:eastAsia="Calibri" w:cs="Arial"/>
        </w:rPr>
        <w:t xml:space="preserve">w ciągu 5 dni od zakończenia etapu oceny formalno-merytorycznej </w:t>
      </w:r>
      <w:r>
        <w:rPr>
          <w:rFonts w:eastAsia="Calibri" w:cs="Arial"/>
        </w:rPr>
        <w:t>zobligowany jest do niezwłocznego dostarczenia do ION:</w:t>
      </w:r>
    </w:p>
    <w:p w14:paraId="04E48E5A" w14:textId="77777777" w:rsidR="00125EE4" w:rsidRDefault="00125EE4" w:rsidP="001C3CAC">
      <w:pPr>
        <w:pStyle w:val="Akapitzlist"/>
        <w:numPr>
          <w:ilvl w:val="1"/>
          <w:numId w:val="23"/>
        </w:numPr>
        <w:spacing w:after="200"/>
        <w:rPr>
          <w:rFonts w:eastAsia="Calibri" w:cs="Arial"/>
        </w:rPr>
      </w:pPr>
      <w:r>
        <w:rPr>
          <w:rFonts w:eastAsia="Calibri" w:cs="Arial"/>
        </w:rPr>
        <w:t>Pierwszego harmonogramu płatności,</w:t>
      </w:r>
    </w:p>
    <w:p w14:paraId="4F35C785" w14:textId="77777777" w:rsidR="00125EE4" w:rsidRPr="00125EE4" w:rsidRDefault="00125EE4" w:rsidP="001C3CAC">
      <w:pPr>
        <w:pStyle w:val="Akapitzlist"/>
        <w:numPr>
          <w:ilvl w:val="1"/>
          <w:numId w:val="23"/>
        </w:numPr>
        <w:spacing w:after="200"/>
        <w:rPr>
          <w:rFonts w:eastAsia="Calibri" w:cs="Arial"/>
        </w:rPr>
      </w:pPr>
      <w:r w:rsidRPr="00125EE4">
        <w:rPr>
          <w:rFonts w:eastAsia="Calibri" w:cs="Arial"/>
        </w:rPr>
        <w:t>O</w:t>
      </w:r>
      <w:r>
        <w:rPr>
          <w:rFonts w:cstheme="minorHAnsi"/>
        </w:rPr>
        <w:t>świadczenia</w:t>
      </w:r>
      <w:r w:rsidRPr="00125EE4">
        <w:rPr>
          <w:rFonts w:cstheme="minorHAnsi"/>
        </w:rPr>
        <w:t xml:space="preserve"> Wnios</w:t>
      </w:r>
      <w:r>
        <w:rPr>
          <w:rFonts w:cstheme="minorHAnsi"/>
        </w:rPr>
        <w:t>kodawcy</w:t>
      </w:r>
      <w:r w:rsidRPr="00125EE4">
        <w:rPr>
          <w:rFonts w:cstheme="minorHAnsi"/>
        </w:rPr>
        <w:t>, dotyczące aktualności danych zawartych we wniosku oraz załącznikach, dostarczonych w momencie złożenia wniosku i przed podjęciem Uchwały</w:t>
      </w:r>
      <w:r>
        <w:rPr>
          <w:rFonts w:cstheme="minorHAnsi"/>
        </w:rPr>
        <w:t>.</w:t>
      </w:r>
    </w:p>
    <w:p w14:paraId="5D341554" w14:textId="77777777" w:rsidR="00D94F1A" w:rsidRPr="00AF499A" w:rsidRDefault="00AC2FBC" w:rsidP="001C3CAC">
      <w:pPr>
        <w:pStyle w:val="Akapitzlist"/>
        <w:numPr>
          <w:ilvl w:val="0"/>
          <w:numId w:val="36"/>
        </w:numPr>
        <w:spacing w:after="200"/>
        <w:ind w:left="284"/>
        <w:rPr>
          <w:rFonts w:eastAsia="Calibri" w:cs="Arial"/>
        </w:rPr>
      </w:pPr>
      <w:r>
        <w:rPr>
          <w:rFonts w:eastAsia="Calibri" w:cs="Arial"/>
        </w:rPr>
        <w:lastRenderedPageBreak/>
        <w:t>Wynikiem oceny formalno-merytorycznej jest</w:t>
      </w:r>
      <w:r w:rsidR="00020C5D">
        <w:rPr>
          <w:rFonts w:eastAsia="Calibri" w:cs="Arial"/>
        </w:rPr>
        <w:t xml:space="preserve"> decyzja o </w:t>
      </w:r>
      <w:r>
        <w:rPr>
          <w:rFonts w:eastAsia="Calibri" w:cs="Arial"/>
        </w:rPr>
        <w:t>skierowaniu wniosku do dofinansowania,</w:t>
      </w:r>
      <w:r w:rsidR="00020C5D">
        <w:rPr>
          <w:rFonts w:eastAsia="Calibri" w:cs="Arial"/>
        </w:rPr>
        <w:t xml:space="preserve"> podj</w:t>
      </w:r>
      <w:r w:rsidR="00125EE4">
        <w:rPr>
          <w:rFonts w:eastAsia="Calibri" w:cs="Arial"/>
        </w:rPr>
        <w:t>ę</w:t>
      </w:r>
      <w:r w:rsidR="00020C5D">
        <w:rPr>
          <w:rFonts w:eastAsia="Calibri" w:cs="Arial"/>
        </w:rPr>
        <w:t>ta przez Zarząd Województwa Warmińsko-Mazurskiego w drodze Uchwały.</w:t>
      </w:r>
    </w:p>
    <w:p w14:paraId="32231374" w14:textId="7A99DE97" w:rsidR="00940EA3" w:rsidRDefault="00940EA3">
      <w:pPr>
        <w:spacing w:line="259" w:lineRule="auto"/>
      </w:pPr>
    </w:p>
    <w:p w14:paraId="7BFD4CAD" w14:textId="19F1AE06" w:rsidR="009142F8" w:rsidRDefault="009142F8">
      <w:pPr>
        <w:spacing w:line="259" w:lineRule="auto"/>
      </w:pPr>
    </w:p>
    <w:p w14:paraId="67ADDBCB" w14:textId="77777777" w:rsidR="009142F8" w:rsidRDefault="009142F8">
      <w:pPr>
        <w:spacing w:line="259" w:lineRule="auto"/>
        <w:rPr>
          <w:rFonts w:eastAsia="Calibri" w:cs="Arial"/>
          <w:b/>
          <w:sz w:val="24"/>
          <w:szCs w:val="24"/>
        </w:rPr>
      </w:pPr>
    </w:p>
    <w:p w14:paraId="06AE1E1D" w14:textId="77777777" w:rsidR="00D6679F" w:rsidRDefault="00D6679F" w:rsidP="00E33E29">
      <w:pPr>
        <w:pStyle w:val="Rozdzia-K"/>
        <w:ind w:left="0"/>
        <w:jc w:val="left"/>
      </w:pPr>
      <w:bookmarkStart w:id="50" w:name="_Toc137810503"/>
      <w:r w:rsidRPr="00D6679F">
        <w:t xml:space="preserve">Spis </w:t>
      </w:r>
      <w:r w:rsidRPr="00940EA3">
        <w:t>załączników</w:t>
      </w:r>
      <w:bookmarkEnd w:id="50"/>
      <w:r w:rsidR="001C34A8">
        <w:t xml:space="preserve"> </w:t>
      </w:r>
    </w:p>
    <w:p w14:paraId="60C5F143" w14:textId="77777777" w:rsidR="00D83DB9" w:rsidRPr="00737D1D" w:rsidRDefault="00D83DB9" w:rsidP="001C3CAC">
      <w:pPr>
        <w:spacing w:after="0"/>
        <w:rPr>
          <w:rFonts w:cs="Arial"/>
        </w:rPr>
      </w:pPr>
      <w:r w:rsidRPr="00737D1D">
        <w:rPr>
          <w:rFonts w:cs="Arial"/>
          <w:b/>
        </w:rPr>
        <w:t>Załącznik 1.</w:t>
      </w:r>
      <w:r>
        <w:rPr>
          <w:rFonts w:cs="Arial"/>
        </w:rPr>
        <w:tab/>
      </w:r>
      <w:r w:rsidRPr="00737D1D">
        <w:rPr>
          <w:rFonts w:cs="Arial"/>
        </w:rPr>
        <w:t xml:space="preserve">Kryteria wyboru projektów w ramach </w:t>
      </w:r>
      <w:r>
        <w:rPr>
          <w:rFonts w:cs="Arial"/>
        </w:rPr>
        <w:t>naboru</w:t>
      </w:r>
      <w:r w:rsidRPr="00737D1D">
        <w:rPr>
          <w:rFonts w:cs="Arial"/>
        </w:rPr>
        <w:t xml:space="preserve"> nr </w:t>
      </w:r>
      <w:r>
        <w:rPr>
          <w:rFonts w:cs="Arial"/>
          <w:bCs/>
        </w:rPr>
        <w:t>FEWM.06.03</w:t>
      </w:r>
      <w:r w:rsidRPr="007F3A3D">
        <w:rPr>
          <w:rFonts w:cs="Arial"/>
          <w:bCs/>
        </w:rPr>
        <w:t>-IZ.00-001/23</w:t>
      </w:r>
      <w:r w:rsidRPr="00737D1D">
        <w:rPr>
          <w:rFonts w:cs="Arial"/>
        </w:rPr>
        <w:t>;</w:t>
      </w:r>
    </w:p>
    <w:p w14:paraId="24C5700F" w14:textId="77777777" w:rsidR="00D83DB9" w:rsidRPr="00737D1D" w:rsidRDefault="00D83DB9" w:rsidP="001C3CAC">
      <w:pPr>
        <w:spacing w:after="0"/>
        <w:rPr>
          <w:rFonts w:cs="Arial"/>
        </w:rPr>
      </w:pPr>
      <w:r w:rsidRPr="00737D1D">
        <w:rPr>
          <w:rFonts w:cs="Arial"/>
          <w:b/>
        </w:rPr>
        <w:t>Załącznik 2.</w:t>
      </w:r>
      <w:bookmarkStart w:id="51" w:name="_Hlk137812349"/>
      <w:r>
        <w:rPr>
          <w:rFonts w:cs="Arial"/>
          <w:b/>
        </w:rPr>
        <w:tab/>
      </w:r>
      <w:bookmarkEnd w:id="51"/>
      <w:r w:rsidRPr="00737D1D">
        <w:rPr>
          <w:rFonts w:cs="Arial"/>
        </w:rPr>
        <w:t>Wzór wniosku o dofinansowanie projektu;</w:t>
      </w:r>
    </w:p>
    <w:p w14:paraId="4568A553" w14:textId="77777777" w:rsidR="00D83DB9" w:rsidRPr="00737D1D" w:rsidRDefault="00D83DB9" w:rsidP="001C3CAC">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Warmii i Mazur na lata 2021-2027 (</w:t>
      </w:r>
      <w:proofErr w:type="spellStart"/>
      <w:r w:rsidRPr="00737D1D">
        <w:rPr>
          <w:rFonts w:cs="Arial"/>
        </w:rPr>
        <w:t>FEWiM</w:t>
      </w:r>
      <w:proofErr w:type="spellEnd"/>
      <w:r w:rsidRPr="00737D1D">
        <w:rPr>
          <w:rFonts w:cs="Arial"/>
        </w:rPr>
        <w:t xml:space="preserve"> 2021-2027); </w:t>
      </w:r>
    </w:p>
    <w:p w14:paraId="5A9B2BA1" w14:textId="77777777" w:rsidR="00D83DB9" w:rsidRPr="00737D1D" w:rsidRDefault="00D83DB9" w:rsidP="001C3CAC">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w:t>
      </w:r>
      <w:r w:rsidR="00317D0C">
        <w:rPr>
          <w:rFonts w:cs="Arial"/>
        </w:rPr>
        <w:t>nie</w:t>
      </w:r>
      <w:r>
        <w:rPr>
          <w:rFonts w:cs="Arial"/>
        </w:rPr>
        <w:t xml:space="preserve">konkurencyjnego </w:t>
      </w:r>
      <w:proofErr w:type="spellStart"/>
      <w:r w:rsidRPr="00737D1D">
        <w:rPr>
          <w:rFonts w:cs="Arial"/>
        </w:rPr>
        <w:t>FEWiM</w:t>
      </w:r>
      <w:proofErr w:type="spellEnd"/>
      <w:r w:rsidRPr="00737D1D">
        <w:rPr>
          <w:rFonts w:cs="Arial"/>
        </w:rPr>
        <w:t xml:space="preserve"> 2021-2027; </w:t>
      </w:r>
    </w:p>
    <w:p w14:paraId="0DE5AE76" w14:textId="77777777" w:rsidR="00D83DB9" w:rsidRPr="00737D1D" w:rsidRDefault="00D17690" w:rsidP="001C3CAC">
      <w:pPr>
        <w:spacing w:after="0"/>
        <w:ind w:left="1418" w:hanging="1418"/>
        <w:rPr>
          <w:rFonts w:cs="Arial"/>
          <w:lang w:eastAsia="pl-PL"/>
        </w:rPr>
      </w:pPr>
      <w:r>
        <w:rPr>
          <w:rFonts w:cs="Arial"/>
          <w:b/>
        </w:rPr>
        <w:t>Załącznik 5</w:t>
      </w:r>
      <w:r w:rsidR="00D83DB9" w:rsidRPr="00737D1D">
        <w:rPr>
          <w:rFonts w:cs="Arial"/>
          <w:b/>
        </w:rPr>
        <w:t>.</w:t>
      </w:r>
      <w:r w:rsidR="00D83DB9">
        <w:rPr>
          <w:rFonts w:cs="Arial"/>
          <w:b/>
        </w:rPr>
        <w:tab/>
      </w:r>
      <w:r w:rsidR="00D83DB9" w:rsidRPr="000D5209">
        <w:rPr>
          <w:rFonts w:cs="Arial"/>
          <w:lang w:eastAsia="pl-PL"/>
        </w:rPr>
        <w:t>Podstawowe informacje dotyczące uzyskiwania kwalifikacji w ramach</w:t>
      </w:r>
      <w:r w:rsidR="00D83DB9" w:rsidRPr="000D5209">
        <w:rPr>
          <w:rFonts w:cs="Arial"/>
          <w:lang w:eastAsia="pl-PL"/>
        </w:rPr>
        <w:br/>
        <w:t>projektów współfinansowanych z EFS+;</w:t>
      </w:r>
    </w:p>
    <w:p w14:paraId="3F6298B8" w14:textId="77777777" w:rsidR="00D83DB9" w:rsidRPr="002416BE" w:rsidRDefault="00D83DB9" w:rsidP="001C3CAC">
      <w:pPr>
        <w:spacing w:after="0"/>
        <w:ind w:left="1418" w:hanging="1418"/>
        <w:rPr>
          <w:rFonts w:cs="Arial"/>
          <w:bCs/>
          <w:lang w:eastAsia="pl-PL"/>
        </w:rPr>
      </w:pPr>
      <w:r w:rsidRPr="00737D1D">
        <w:rPr>
          <w:rFonts w:cs="Arial"/>
          <w:b/>
        </w:rPr>
        <w:t xml:space="preserve">Załącznik </w:t>
      </w:r>
      <w:r w:rsidR="00D17690">
        <w:rPr>
          <w:rFonts w:cs="Arial"/>
          <w:b/>
        </w:rPr>
        <w:t>6</w:t>
      </w:r>
      <w:r w:rsidRPr="00737D1D">
        <w:rPr>
          <w:rFonts w:cs="Arial"/>
          <w:b/>
        </w:rPr>
        <w:t>.</w:t>
      </w:r>
      <w:r w:rsidR="00F53A30" w:rsidRPr="00F53A30">
        <w:rPr>
          <w:rFonts w:cs="Arial"/>
          <w:b/>
        </w:rPr>
        <w:t xml:space="preserve"> </w:t>
      </w:r>
      <w:r w:rsidR="00F53A30">
        <w:rPr>
          <w:rFonts w:cs="Arial"/>
          <w:b/>
        </w:rPr>
        <w:tab/>
      </w:r>
      <w:r>
        <w:rPr>
          <w:rFonts w:cs="Arial"/>
          <w:bCs/>
        </w:rPr>
        <w:t>Klauzula informacyjna RODO.</w:t>
      </w:r>
    </w:p>
    <w:p w14:paraId="448998FE" w14:textId="77777777" w:rsidR="00D83DB9" w:rsidRDefault="00D83DB9" w:rsidP="001C3CAC">
      <w:pPr>
        <w:spacing w:line="259" w:lineRule="auto"/>
        <w:rPr>
          <w:rFonts w:cs="Arial"/>
          <w:bCs/>
        </w:rPr>
      </w:pPr>
    </w:p>
    <w:p w14:paraId="6DBF336B" w14:textId="77777777" w:rsidR="00EF140B" w:rsidRDefault="00EF140B" w:rsidP="001C3CAC">
      <w:pPr>
        <w:pStyle w:val="Nagwek-K"/>
        <w:ind w:left="0"/>
      </w:pPr>
    </w:p>
    <w:p w14:paraId="5B248655" w14:textId="77777777" w:rsidR="00EF140B" w:rsidRDefault="00EF140B" w:rsidP="001C3CAC">
      <w:pPr>
        <w:pStyle w:val="Nagwek-K"/>
        <w:ind w:left="0"/>
      </w:pPr>
    </w:p>
    <w:p w14:paraId="23424B77" w14:textId="77777777" w:rsidR="00EF140B" w:rsidRDefault="00EF140B" w:rsidP="001C3CAC">
      <w:pPr>
        <w:pStyle w:val="Nagwek-K"/>
        <w:ind w:left="0"/>
      </w:pPr>
    </w:p>
    <w:p w14:paraId="4155CCE0" w14:textId="77777777" w:rsidR="00EF140B" w:rsidRDefault="00EF140B" w:rsidP="001C3CAC">
      <w:pPr>
        <w:pStyle w:val="Nagwek-K"/>
        <w:ind w:left="0"/>
      </w:pPr>
    </w:p>
    <w:p w14:paraId="13A19381" w14:textId="77777777" w:rsidR="005A05BF" w:rsidRDefault="005A05BF" w:rsidP="001C3CAC">
      <w:pPr>
        <w:spacing w:line="259" w:lineRule="auto"/>
        <w:rPr>
          <w:rStyle w:val="PodtytuZnak"/>
        </w:rPr>
      </w:pPr>
    </w:p>
    <w:sectPr w:rsidR="005A05BF" w:rsidSect="005A05BF">
      <w:footerReference w:type="default" r:id="rId12"/>
      <w:head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2676" w14:textId="77777777" w:rsidR="005A0414" w:rsidRDefault="005A0414" w:rsidP="00BD17DC">
      <w:pPr>
        <w:spacing w:after="0" w:line="240" w:lineRule="auto"/>
      </w:pPr>
      <w:r>
        <w:separator/>
      </w:r>
    </w:p>
  </w:endnote>
  <w:endnote w:type="continuationSeparator" w:id="0">
    <w:p w14:paraId="4E0638CB" w14:textId="77777777" w:rsidR="005A0414" w:rsidRDefault="005A0414"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5D76CBF5" w14:textId="30F68A1A" w:rsidR="00AE11B9" w:rsidRPr="005A05BF" w:rsidRDefault="00AE11B9">
            <w:pPr>
              <w:pStyle w:val="Stopka"/>
              <w:jc w:val="right"/>
            </w:pPr>
            <w:r w:rsidRPr="005A05BF">
              <w:t xml:space="preserve">str. </w:t>
            </w:r>
            <w:r>
              <w:fldChar w:fldCharType="begin"/>
            </w:r>
            <w:r>
              <w:instrText>PAGE</w:instrText>
            </w:r>
            <w:r>
              <w:fldChar w:fldCharType="separate"/>
            </w:r>
            <w:r w:rsidR="007D3A8A">
              <w:rPr>
                <w:noProof/>
              </w:rPr>
              <w:t>3</w:t>
            </w:r>
            <w:r>
              <w:rPr>
                <w:noProof/>
              </w:rPr>
              <w:fldChar w:fldCharType="end"/>
            </w:r>
            <w:r w:rsidRPr="005A05BF">
              <w:t xml:space="preserve"> z </w:t>
            </w:r>
            <w:r>
              <w:fldChar w:fldCharType="begin"/>
            </w:r>
            <w:r>
              <w:instrText>NUMPAGES</w:instrText>
            </w:r>
            <w:r>
              <w:fldChar w:fldCharType="separate"/>
            </w:r>
            <w:r w:rsidR="007D3A8A">
              <w:rPr>
                <w:noProof/>
              </w:rPr>
              <w:t>36</w:t>
            </w:r>
            <w:r>
              <w:rPr>
                <w:noProof/>
              </w:rPr>
              <w:fldChar w:fldCharType="end"/>
            </w:r>
          </w:p>
        </w:sdtContent>
      </w:sdt>
    </w:sdtContent>
  </w:sdt>
  <w:p w14:paraId="317B5B9C" w14:textId="77777777" w:rsidR="00AE11B9" w:rsidRPr="005A05BF" w:rsidRDefault="00AE11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C546A" w14:textId="77777777" w:rsidR="005A0414" w:rsidRDefault="005A0414" w:rsidP="00BD17DC">
      <w:pPr>
        <w:spacing w:after="0" w:line="240" w:lineRule="auto"/>
      </w:pPr>
      <w:r>
        <w:separator/>
      </w:r>
    </w:p>
  </w:footnote>
  <w:footnote w:type="continuationSeparator" w:id="0">
    <w:p w14:paraId="65F63A4F" w14:textId="77777777" w:rsidR="005A0414" w:rsidRDefault="005A0414" w:rsidP="00BD17DC">
      <w:pPr>
        <w:spacing w:after="0" w:line="240" w:lineRule="auto"/>
      </w:pPr>
      <w:r>
        <w:continuationSeparator/>
      </w:r>
    </w:p>
  </w:footnote>
  <w:footnote w:id="1">
    <w:p w14:paraId="18CBBAA8" w14:textId="77777777" w:rsidR="00AE11B9" w:rsidRPr="00093836" w:rsidRDefault="00AE11B9" w:rsidP="00A50A66">
      <w:pPr>
        <w:pStyle w:val="Tekstprzypisudolnego"/>
        <w:ind w:right="1132"/>
      </w:pPr>
      <w:r w:rsidRPr="00590309">
        <w:rPr>
          <w:rStyle w:val="Odwoanieprzypisudolnego"/>
          <w:rFonts w:cs="Arial"/>
          <w:szCs w:val="16"/>
        </w:rPr>
        <w:footnoteRef/>
      </w:r>
      <w:r>
        <w:rPr>
          <w:rFonts w:cs="Arial"/>
          <w:sz w:val="16"/>
          <w:szCs w:val="16"/>
        </w:rPr>
        <w:t xml:space="preserve"> </w:t>
      </w:r>
      <w:r w:rsidRPr="00093836">
        <w:rPr>
          <w:rFonts w:ascii="Arial" w:hAnsi="Arial" w:cs="Arial"/>
        </w:rPr>
        <w:t>W rozumieniu art. 5 ustawy wdrożeniowej</w:t>
      </w:r>
      <w:r>
        <w:rPr>
          <w:rFonts w:ascii="Arial" w:hAnsi="Arial" w:cs="Arial"/>
        </w:rPr>
        <w:t>.</w:t>
      </w:r>
    </w:p>
  </w:footnote>
  <w:footnote w:id="2">
    <w:p w14:paraId="5AC47AF9" w14:textId="77777777" w:rsidR="00AE11B9" w:rsidRPr="00DF02E4" w:rsidRDefault="00AE11B9" w:rsidP="00C640C0">
      <w:pPr>
        <w:pStyle w:val="Tekstprzypisudolnego"/>
        <w:jc w:val="left"/>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r w:rsidRPr="00675216">
        <w:rPr>
          <w:rFonts w:ascii="Arial" w:hAnsi="Arial" w:cs="Arial"/>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30B4" w14:textId="7EAFAE3B" w:rsidR="00987BC7" w:rsidRDefault="00987BC7">
    <w:pPr>
      <w:pStyle w:val="Nagwek"/>
    </w:pPr>
    <w:r w:rsidRPr="00737D1D">
      <w:rPr>
        <w:rFonts w:cs="Arial"/>
        <w:noProof/>
        <w:lang w:eastAsia="pl-PL"/>
      </w:rPr>
      <w:drawing>
        <wp:inline distT="0" distB="0" distL="0" distR="0" wp14:anchorId="34BC1940" wp14:editId="2F330C60">
          <wp:extent cx="5760720" cy="6223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22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3F9"/>
    <w:multiLevelType w:val="multilevel"/>
    <w:tmpl w:val="D288419E"/>
    <w:name w:val="NumeracjaTreść-K2"/>
    <w:numStyleLink w:val="NumeracjaTre-K"/>
  </w:abstractNum>
  <w:abstractNum w:abstractNumId="1" w15:restartNumberingAfterBreak="0">
    <w:nsid w:val="0F3812E7"/>
    <w:multiLevelType w:val="hybridMultilevel"/>
    <w:tmpl w:val="BBD6A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1192043"/>
    <w:multiLevelType w:val="hybridMultilevel"/>
    <w:tmpl w:val="10921E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6" w15:restartNumberingAfterBreak="0">
    <w:nsid w:val="1C883E2F"/>
    <w:multiLevelType w:val="hybridMultilevel"/>
    <w:tmpl w:val="68002B98"/>
    <w:lvl w:ilvl="0" w:tplc="11FC3B82">
      <w:start w:val="1"/>
      <w:numFmt w:val="decimal"/>
      <w:lvlText w:val="%1."/>
      <w:lvlJc w:val="left"/>
      <w:pPr>
        <w:ind w:left="1068" w:hanging="360"/>
      </w:pPr>
      <w:rPr>
        <w:rFonts w:ascii="Arial" w:hAnsi="Arial" w:cs="Arial" w:hint="default"/>
        <w:sz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12701D4"/>
    <w:multiLevelType w:val="multilevel"/>
    <w:tmpl w:val="F7B6B29C"/>
    <w:name w:val="Numeracja-K"/>
    <w:numStyleLink w:val="Numeracja-K"/>
  </w:abstractNum>
  <w:abstractNum w:abstractNumId="8" w15:restartNumberingAfterBreak="0">
    <w:nsid w:val="28FA47FE"/>
    <w:multiLevelType w:val="hybridMultilevel"/>
    <w:tmpl w:val="EDC64D60"/>
    <w:styleLink w:val="NumeracjaTre-K4"/>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5E7F68"/>
    <w:multiLevelType w:val="multilevel"/>
    <w:tmpl w:val="D288419E"/>
    <w:name w:val="NumeracjaTreść-K"/>
    <w:numStyleLink w:val="NumeracjaTre-K"/>
  </w:abstractNum>
  <w:abstractNum w:abstractNumId="10" w15:restartNumberingAfterBreak="0">
    <w:nsid w:val="367D23C1"/>
    <w:multiLevelType w:val="hybridMultilevel"/>
    <w:tmpl w:val="6A42E19C"/>
    <w:lvl w:ilvl="0" w:tplc="FD44D48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12" w15:restartNumberingAfterBreak="0">
    <w:nsid w:val="3DE35EF3"/>
    <w:multiLevelType w:val="hybridMultilevel"/>
    <w:tmpl w:val="7272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647E03"/>
    <w:multiLevelType w:val="multilevel"/>
    <w:tmpl w:val="D288419E"/>
    <w:name w:val="NumeracjaTreści-K"/>
    <w:numStyleLink w:val="NumeracjaTre-K"/>
  </w:abstractNum>
  <w:abstractNum w:abstractNumId="14" w15:restartNumberingAfterBreak="0">
    <w:nsid w:val="4F554902"/>
    <w:multiLevelType w:val="hybridMultilevel"/>
    <w:tmpl w:val="3A10D2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6F12F7"/>
    <w:multiLevelType w:val="hybridMultilevel"/>
    <w:tmpl w:val="9F38C034"/>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870A68"/>
    <w:multiLevelType w:val="multilevel"/>
    <w:tmpl w:val="D288419E"/>
    <w:name w:val="NumeracjaTreści-K1"/>
    <w:styleLink w:val="NumeracjaTre-K"/>
    <w:lvl w:ilvl="0">
      <w:start w:val="1"/>
      <w:numFmt w:val="decimal"/>
      <w:pStyle w:val="TreNum-K"/>
      <w:lvlText w:val="%1."/>
      <w:lvlJc w:val="left"/>
      <w:pPr>
        <w:ind w:left="0" w:firstLine="0"/>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8" w15:restartNumberingAfterBreak="0">
    <w:nsid w:val="591417BC"/>
    <w:multiLevelType w:val="hybridMultilevel"/>
    <w:tmpl w:val="F9642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2E6A38"/>
    <w:multiLevelType w:val="multilevel"/>
    <w:tmpl w:val="66ECE214"/>
    <w:styleLink w:val="Numeracja-K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E6B74CE"/>
    <w:multiLevelType w:val="multilevel"/>
    <w:tmpl w:val="F7B6B29C"/>
    <w:name w:val="Numeracja-K2"/>
    <w:numStyleLink w:val="Numeracja-K"/>
  </w:abstractNum>
  <w:abstractNum w:abstractNumId="21" w15:restartNumberingAfterBreak="0">
    <w:nsid w:val="5FCD798F"/>
    <w:multiLevelType w:val="hybridMultilevel"/>
    <w:tmpl w:val="804441BE"/>
    <w:lvl w:ilvl="0" w:tplc="04150003">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961E13"/>
    <w:multiLevelType w:val="multilevel"/>
    <w:tmpl w:val="D288419E"/>
    <w:name w:val="NumeracjaTreści-K2"/>
    <w:numStyleLink w:val="NumeracjaTre-K"/>
  </w:abstractNum>
  <w:abstractNum w:abstractNumId="23" w15:restartNumberingAfterBreak="0">
    <w:nsid w:val="62760932"/>
    <w:multiLevelType w:val="hybridMultilevel"/>
    <w:tmpl w:val="F6C0C368"/>
    <w:lvl w:ilvl="0" w:tplc="F4223E3E">
      <w:start w:val="1"/>
      <w:numFmt w:val="decimal"/>
      <w:pStyle w:val="Podrozdzia21-DK"/>
      <w:lvlText w:val="3.%1"/>
      <w:lvlJc w:val="left"/>
      <w:pPr>
        <w:ind w:left="1480" w:hanging="360"/>
      </w:pPr>
      <w:rPr>
        <w:rFonts w:cs="Times New Roman" w:hint="default"/>
      </w:rPr>
    </w:lvl>
    <w:lvl w:ilvl="1" w:tplc="04150003" w:tentative="1">
      <w:start w:val="1"/>
      <w:numFmt w:val="lowerLetter"/>
      <w:lvlText w:val="%2."/>
      <w:lvlJc w:val="left"/>
      <w:pPr>
        <w:ind w:left="2200" w:hanging="360"/>
      </w:pPr>
      <w:rPr>
        <w:rFonts w:cs="Times New Roman"/>
      </w:rPr>
    </w:lvl>
    <w:lvl w:ilvl="2" w:tplc="04150005" w:tentative="1">
      <w:start w:val="1"/>
      <w:numFmt w:val="lowerRoman"/>
      <w:lvlText w:val="%3."/>
      <w:lvlJc w:val="right"/>
      <w:pPr>
        <w:ind w:left="2920" w:hanging="180"/>
      </w:pPr>
      <w:rPr>
        <w:rFonts w:cs="Times New Roman"/>
      </w:rPr>
    </w:lvl>
    <w:lvl w:ilvl="3" w:tplc="04150001" w:tentative="1">
      <w:start w:val="1"/>
      <w:numFmt w:val="decimal"/>
      <w:lvlText w:val="%4."/>
      <w:lvlJc w:val="left"/>
      <w:pPr>
        <w:ind w:left="3640" w:hanging="360"/>
      </w:pPr>
      <w:rPr>
        <w:rFonts w:cs="Times New Roman"/>
      </w:rPr>
    </w:lvl>
    <w:lvl w:ilvl="4" w:tplc="04150003" w:tentative="1">
      <w:start w:val="1"/>
      <w:numFmt w:val="lowerLetter"/>
      <w:lvlText w:val="%5."/>
      <w:lvlJc w:val="left"/>
      <w:pPr>
        <w:ind w:left="4360" w:hanging="360"/>
      </w:pPr>
      <w:rPr>
        <w:rFonts w:cs="Times New Roman"/>
      </w:rPr>
    </w:lvl>
    <w:lvl w:ilvl="5" w:tplc="04150005" w:tentative="1">
      <w:start w:val="1"/>
      <w:numFmt w:val="lowerRoman"/>
      <w:lvlText w:val="%6."/>
      <w:lvlJc w:val="right"/>
      <w:pPr>
        <w:ind w:left="5080" w:hanging="180"/>
      </w:pPr>
      <w:rPr>
        <w:rFonts w:cs="Times New Roman"/>
      </w:rPr>
    </w:lvl>
    <w:lvl w:ilvl="6" w:tplc="04150001" w:tentative="1">
      <w:start w:val="1"/>
      <w:numFmt w:val="decimal"/>
      <w:lvlText w:val="%7."/>
      <w:lvlJc w:val="left"/>
      <w:pPr>
        <w:ind w:left="5800" w:hanging="360"/>
      </w:pPr>
      <w:rPr>
        <w:rFonts w:cs="Times New Roman"/>
      </w:rPr>
    </w:lvl>
    <w:lvl w:ilvl="7" w:tplc="04150003" w:tentative="1">
      <w:start w:val="1"/>
      <w:numFmt w:val="lowerLetter"/>
      <w:lvlText w:val="%8."/>
      <w:lvlJc w:val="left"/>
      <w:pPr>
        <w:ind w:left="6520" w:hanging="360"/>
      </w:pPr>
      <w:rPr>
        <w:rFonts w:cs="Times New Roman"/>
      </w:rPr>
    </w:lvl>
    <w:lvl w:ilvl="8" w:tplc="04150005" w:tentative="1">
      <w:start w:val="1"/>
      <w:numFmt w:val="lowerRoman"/>
      <w:lvlText w:val="%9."/>
      <w:lvlJc w:val="right"/>
      <w:pPr>
        <w:ind w:left="7240" w:hanging="180"/>
      </w:pPr>
      <w:rPr>
        <w:rFonts w:cs="Times New Roman"/>
      </w:rPr>
    </w:lvl>
  </w:abstractNum>
  <w:abstractNum w:abstractNumId="24" w15:restartNumberingAfterBreak="0">
    <w:nsid w:val="630C21FC"/>
    <w:multiLevelType w:val="hybridMultilevel"/>
    <w:tmpl w:val="ED0C6F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DF372F"/>
    <w:multiLevelType w:val="hybridMultilevel"/>
    <w:tmpl w:val="7E7E31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7A2FCA"/>
    <w:multiLevelType w:val="hybridMultilevel"/>
    <w:tmpl w:val="95AC6676"/>
    <w:lvl w:ilvl="0" w:tplc="1712518C">
      <w:start w:val="1"/>
      <w:numFmt w:val="upperRoman"/>
      <w:pStyle w:val="RozdziaIDK"/>
      <w:lvlText w:val="%1."/>
      <w:lvlJc w:val="left"/>
      <w:pPr>
        <w:ind w:left="36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7" w15:restartNumberingAfterBreak="0">
    <w:nsid w:val="6DBB0058"/>
    <w:multiLevelType w:val="multilevel"/>
    <w:tmpl w:val="F7B6B29C"/>
    <w:name w:val="Numeracja-K"/>
    <w:numStyleLink w:val="Numeracja-K"/>
  </w:abstractNum>
  <w:abstractNum w:abstractNumId="28" w15:restartNumberingAfterBreak="0">
    <w:nsid w:val="6EF620EB"/>
    <w:multiLevelType w:val="hybridMultilevel"/>
    <w:tmpl w:val="3C7E41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15:restartNumberingAfterBreak="0">
    <w:nsid w:val="74BF1CE6"/>
    <w:multiLevelType w:val="hybridMultilevel"/>
    <w:tmpl w:val="8312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F910D9"/>
    <w:multiLevelType w:val="multilevel"/>
    <w:tmpl w:val="D288419E"/>
    <w:name w:val="NumeracjaTreści-K2"/>
    <w:numStyleLink w:val="NumeracjaTre-K"/>
  </w:abstractNum>
  <w:abstractNum w:abstractNumId="31" w15:restartNumberingAfterBreak="0">
    <w:nsid w:val="7D9D4BBB"/>
    <w:multiLevelType w:val="hybridMultilevel"/>
    <w:tmpl w:val="87684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6"/>
  </w:num>
  <w:num w:numId="4">
    <w:abstractNumId w:val="31"/>
  </w:num>
  <w:num w:numId="5">
    <w:abstractNumId w:val="19"/>
  </w:num>
  <w:num w:numId="6">
    <w:abstractNumId w:val="11"/>
  </w:num>
  <w:num w:numId="7">
    <w:abstractNumId w:val="17"/>
    <w:lvlOverride w:ilvl="0">
      <w:lvl w:ilvl="0">
        <w:start w:val="1"/>
        <w:numFmt w:val="decimal"/>
        <w:pStyle w:val="TreNum-K"/>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8">
    <w:abstractNumId w:val="13"/>
    <w:lvlOverride w:ilvl="0">
      <w:lvl w:ilvl="0">
        <w:start w:val="1"/>
        <w:numFmt w:val="decimal"/>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9">
    <w:abstractNumId w:val="13"/>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0">
    <w:abstractNumId w:val="7"/>
    <w:lvlOverride w:ilvl="0">
      <w:lvl w:ilvl="0">
        <w:start w:val="1"/>
        <w:numFmt w:val="decimal"/>
        <w:pStyle w:val="Rozdzia-K"/>
        <w:lvlText w:val="%1."/>
        <w:lvlJc w:val="left"/>
        <w:pPr>
          <w:ind w:left="567" w:firstLine="0"/>
        </w:pPr>
        <w:rPr>
          <w:rFonts w:ascii="Arial" w:hAnsi="Arial" w:hint="default"/>
          <w:sz w:val="24"/>
        </w:rPr>
      </w:lvl>
    </w:lvlOverride>
    <w:lvlOverride w:ilvl="1">
      <w:lvl w:ilvl="1">
        <w:start w:val="1"/>
        <w:numFmt w:val="decimal"/>
        <w:pStyle w:val="Podrozdzia-K"/>
        <w:lvlText w:val="%1.%2."/>
        <w:lvlJc w:val="left"/>
        <w:pPr>
          <w:ind w:left="851" w:firstLine="0"/>
        </w:pPr>
        <w:rPr>
          <w:rFonts w:hint="default"/>
        </w:rPr>
      </w:lvl>
    </w:lvlOverride>
    <w:lvlOverride w:ilvl="2">
      <w:lvl w:ilvl="2">
        <w:start w:val="1"/>
        <w:numFmt w:val="decimal"/>
        <w:lvlText w:val="%1.%2.%3."/>
        <w:lvlJc w:val="left"/>
        <w:pPr>
          <w:ind w:left="284" w:firstLine="0"/>
        </w:pPr>
        <w:rPr>
          <w:rFonts w:hint="default"/>
          <w:b/>
        </w:rPr>
      </w:lvl>
    </w:lvlOverride>
    <w:lvlOverride w:ilvl="3">
      <w:lvl w:ilvl="3">
        <w:start w:val="1"/>
        <w:numFmt w:val="none"/>
        <w:lvlText w:val=""/>
        <w:lvlJc w:val="left"/>
        <w:pPr>
          <w:ind w:left="647" w:hanging="363"/>
        </w:pPr>
        <w:rPr>
          <w:rFonts w:hint="default"/>
        </w:rPr>
      </w:lvl>
    </w:lvlOverride>
    <w:lvlOverride w:ilvl="4">
      <w:lvl w:ilvl="4">
        <w:start w:val="1"/>
        <w:numFmt w:val="none"/>
        <w:lvlText w:val=""/>
        <w:lvlJc w:val="left"/>
        <w:pPr>
          <w:ind w:left="647" w:hanging="363"/>
        </w:pPr>
        <w:rPr>
          <w:rFonts w:hint="default"/>
        </w:rPr>
      </w:lvl>
    </w:lvlOverride>
    <w:lvlOverride w:ilvl="5">
      <w:lvl w:ilvl="5">
        <w:start w:val="1"/>
        <w:numFmt w:val="none"/>
        <w:lvlText w:val=""/>
        <w:lvlJc w:val="left"/>
        <w:pPr>
          <w:ind w:left="647" w:hanging="363"/>
        </w:pPr>
        <w:rPr>
          <w:rFonts w:hint="default"/>
        </w:rPr>
      </w:lvl>
    </w:lvlOverride>
    <w:lvlOverride w:ilvl="6">
      <w:lvl w:ilvl="6">
        <w:start w:val="1"/>
        <w:numFmt w:val="none"/>
        <w:lvlText w:val=""/>
        <w:lvlJc w:val="left"/>
        <w:pPr>
          <w:ind w:left="647" w:hanging="363"/>
        </w:pPr>
        <w:rPr>
          <w:rFonts w:hint="default"/>
        </w:rPr>
      </w:lvl>
    </w:lvlOverride>
    <w:lvlOverride w:ilvl="7">
      <w:lvl w:ilvl="7">
        <w:start w:val="1"/>
        <w:numFmt w:val="none"/>
        <w:lvlText w:val=""/>
        <w:lvlJc w:val="left"/>
        <w:pPr>
          <w:ind w:left="647" w:hanging="363"/>
        </w:pPr>
        <w:rPr>
          <w:rFonts w:hint="default"/>
        </w:rPr>
      </w:lvl>
    </w:lvlOverride>
    <w:lvlOverride w:ilvl="8">
      <w:lvl w:ilvl="8">
        <w:start w:val="1"/>
        <w:numFmt w:val="none"/>
        <w:lvlText w:val=""/>
        <w:lvlJc w:val="left"/>
        <w:pPr>
          <w:ind w:left="647" w:hanging="363"/>
        </w:pPr>
        <w:rPr>
          <w:rFonts w:hint="default"/>
        </w:rPr>
      </w:lvl>
    </w:lvlOverride>
  </w:num>
  <w:num w:numId="11">
    <w:abstractNumId w:val="5"/>
  </w:num>
  <w:num w:numId="12">
    <w:abstractNumId w:val="16"/>
  </w:num>
  <w:num w:numId="13">
    <w:abstractNumId w:val="3"/>
  </w:num>
  <w:num w:numId="14">
    <w:abstractNumId w:val="25"/>
  </w:num>
  <w:num w:numId="15">
    <w:abstractNumId w:val="4"/>
  </w:num>
  <w:num w:numId="16">
    <w:abstractNumId w:val="10"/>
  </w:num>
  <w:num w:numId="17">
    <w:abstractNumId w:val="15"/>
  </w:num>
  <w:num w:numId="18">
    <w:abstractNumId w:val="28"/>
  </w:num>
  <w:num w:numId="19">
    <w:abstractNumId w:val="21"/>
  </w:num>
  <w:num w:numId="20">
    <w:abstractNumId w:val="2"/>
  </w:num>
  <w:num w:numId="21">
    <w:abstractNumId w:val="13"/>
    <w:lvlOverride w:ilvl="0">
      <w:startOverride w:val="1"/>
      <w:lvl w:ilvl="0">
        <w:start w:val="1"/>
        <w:numFmt w:val="decimal"/>
        <w:lvlText w:val="%1."/>
        <w:lvlJc w:val="left"/>
        <w:pPr>
          <w:ind w:left="357" w:hanging="357"/>
        </w:pPr>
        <w:rPr>
          <w:rFonts w:ascii="Arial" w:hAnsi="Arial" w:hint="default"/>
          <w:b w:val="0"/>
        </w:rPr>
      </w:lvl>
    </w:lvlOverride>
  </w:num>
  <w:num w:numId="22">
    <w:abstractNumId w:val="1"/>
  </w:num>
  <w:num w:numId="23">
    <w:abstractNumId w:val="17"/>
    <w:lvlOverride w:ilvl="0">
      <w:lvl w:ilvl="0">
        <w:start w:val="1"/>
        <w:numFmt w:val="decimal"/>
        <w:pStyle w:val="TreNum-K"/>
        <w:lvlText w:val="%1."/>
        <w:lvlJc w:val="left"/>
        <w:pPr>
          <w:ind w:left="0" w:firstLine="0"/>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4">
    <w:abstractNumId w:val="13"/>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 w:ilvl="0">
        <w:start w:val="1"/>
        <w:numFmt w:val="decimal"/>
        <w:pStyle w:val="TreNum-K"/>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29">
    <w:abstractNumId w:val="17"/>
    <w:lvlOverride w:ilvl="0">
      <w:startOverride w:val="1"/>
      <w:lvl w:ilvl="0">
        <w:start w:val="1"/>
        <w:numFmt w:val="decimal"/>
        <w:pStyle w:val="TreNum-K"/>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0">
    <w:abstractNumId w:val="17"/>
    <w:lvlOverride w:ilvl="0">
      <w:startOverride w:val="1"/>
      <w:lvl w:ilvl="0">
        <w:start w:val="1"/>
        <w:numFmt w:val="decimal"/>
        <w:pStyle w:val="TreNum-K"/>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1">
    <w:abstractNumId w:val="17"/>
    <w:lvlOverride w:ilvl="0">
      <w:startOverride w:val="1"/>
      <w:lvl w:ilvl="0">
        <w:start w:val="1"/>
        <w:numFmt w:val="decimal"/>
        <w:pStyle w:val="TreNum-K"/>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17"/>
  </w:num>
  <w:num w:numId="33">
    <w:abstractNumId w:val="17"/>
    <w:lvlOverride w:ilvl="0">
      <w:startOverride w:val="1"/>
      <w:lvl w:ilvl="0">
        <w:start w:val="1"/>
        <w:numFmt w:val="decimal"/>
        <w:pStyle w:val="TreNum-K"/>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13"/>
    <w:lvlOverride w:ilvl="0">
      <w:lvl w:ilvl="0">
        <w:start w:val="1"/>
        <w:numFmt w:val="decimal"/>
        <w:lvlText w:val="%1."/>
        <w:lvlJc w:val="left"/>
        <w:pPr>
          <w:ind w:left="357" w:hanging="357"/>
        </w:pPr>
        <w:rPr>
          <w:rFonts w:hint="default"/>
          <w:b w:val="0"/>
        </w:rPr>
      </w:lvl>
    </w:lvlOverride>
    <w:lvlOverride w:ilvl="1">
      <w:lvl w:ilvl="1">
        <w:start w:val="1"/>
        <w:numFmt w:val="lowerLetter"/>
        <w:lvlText w:val="%2)"/>
        <w:lvlJc w:val="left"/>
        <w:pPr>
          <w:ind w:left="357" w:hanging="357"/>
        </w:pPr>
        <w:rPr>
          <w:rFonts w:ascii="Times New Roman" w:hAnsi="Times New Roman"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13"/>
    <w:lvlOverride w:ilvl="0">
      <w:lvl w:ilvl="0">
        <w:start w:val="1"/>
        <w:numFmt w:val="decimal"/>
        <w:lvlText w:val="%1."/>
        <w:lvlJc w:val="left"/>
        <w:pPr>
          <w:ind w:left="0" w:firstLine="0"/>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6">
    <w:abstractNumId w:val="24"/>
  </w:num>
  <w:num w:numId="37">
    <w:abstractNumId w:val="13"/>
    <w:lvlOverride w:ilvl="0">
      <w:startOverride w:val="1"/>
      <w:lvl w:ilvl="0">
        <w:start w:val="1"/>
        <w:numFmt w:val="decimal"/>
        <w:lvlText w:val="%1."/>
        <w:lvlJc w:val="left"/>
        <w:pPr>
          <w:ind w:left="0" w:firstLine="0"/>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8">
    <w:abstractNumId w:val="13"/>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b w:val="0"/>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9">
    <w:abstractNumId w:val="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35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40">
    <w:abstractNumId w:val="14"/>
  </w:num>
  <w:num w:numId="41">
    <w:abstractNumId w:val="6"/>
  </w:num>
  <w:num w:numId="42">
    <w:abstractNumId w:val="29"/>
  </w:num>
  <w:num w:numId="43">
    <w:abstractNumId w:val="12"/>
  </w:num>
  <w:num w:numId="4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ocumentProtection w:edit="trackedChanges" w:enforcement="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5504"/>
    <w:rsid w:val="00006FCF"/>
    <w:rsid w:val="00007590"/>
    <w:rsid w:val="0001017C"/>
    <w:rsid w:val="00012E31"/>
    <w:rsid w:val="000133F7"/>
    <w:rsid w:val="0001362C"/>
    <w:rsid w:val="00013A86"/>
    <w:rsid w:val="00014341"/>
    <w:rsid w:val="00014623"/>
    <w:rsid w:val="000167A5"/>
    <w:rsid w:val="0001740F"/>
    <w:rsid w:val="00017D36"/>
    <w:rsid w:val="000209DD"/>
    <w:rsid w:val="00020C5D"/>
    <w:rsid w:val="00021A6C"/>
    <w:rsid w:val="00021AB0"/>
    <w:rsid w:val="00024C34"/>
    <w:rsid w:val="0002625F"/>
    <w:rsid w:val="000267E1"/>
    <w:rsid w:val="000276FA"/>
    <w:rsid w:val="000305BA"/>
    <w:rsid w:val="00030B78"/>
    <w:rsid w:val="00031232"/>
    <w:rsid w:val="0003139B"/>
    <w:rsid w:val="00031B19"/>
    <w:rsid w:val="00031D19"/>
    <w:rsid w:val="000329C6"/>
    <w:rsid w:val="00032A4A"/>
    <w:rsid w:val="00032F0D"/>
    <w:rsid w:val="0003320F"/>
    <w:rsid w:val="00033E96"/>
    <w:rsid w:val="00036487"/>
    <w:rsid w:val="0004070E"/>
    <w:rsid w:val="00040A13"/>
    <w:rsid w:val="000410C3"/>
    <w:rsid w:val="0004139A"/>
    <w:rsid w:val="0004142B"/>
    <w:rsid w:val="000428A6"/>
    <w:rsid w:val="00042BF4"/>
    <w:rsid w:val="00042C65"/>
    <w:rsid w:val="00043073"/>
    <w:rsid w:val="00043DBC"/>
    <w:rsid w:val="0004411F"/>
    <w:rsid w:val="0004481F"/>
    <w:rsid w:val="00044FE1"/>
    <w:rsid w:val="00051BDD"/>
    <w:rsid w:val="0006273C"/>
    <w:rsid w:val="00062DC3"/>
    <w:rsid w:val="00063B8B"/>
    <w:rsid w:val="00070C4F"/>
    <w:rsid w:val="00074C3B"/>
    <w:rsid w:val="00074EB1"/>
    <w:rsid w:val="0008068E"/>
    <w:rsid w:val="00080D8C"/>
    <w:rsid w:val="00080F6F"/>
    <w:rsid w:val="00086969"/>
    <w:rsid w:val="00087F23"/>
    <w:rsid w:val="000903FD"/>
    <w:rsid w:val="00091AC8"/>
    <w:rsid w:val="00093836"/>
    <w:rsid w:val="000944AD"/>
    <w:rsid w:val="00094F52"/>
    <w:rsid w:val="000A0003"/>
    <w:rsid w:val="000A18EB"/>
    <w:rsid w:val="000A1DEB"/>
    <w:rsid w:val="000A4BC1"/>
    <w:rsid w:val="000A4E0F"/>
    <w:rsid w:val="000A6772"/>
    <w:rsid w:val="000B263F"/>
    <w:rsid w:val="000B7CFE"/>
    <w:rsid w:val="000C0AAD"/>
    <w:rsid w:val="000C38A5"/>
    <w:rsid w:val="000C44AF"/>
    <w:rsid w:val="000C4FCA"/>
    <w:rsid w:val="000C58AF"/>
    <w:rsid w:val="000D162C"/>
    <w:rsid w:val="000D4BB6"/>
    <w:rsid w:val="000D5209"/>
    <w:rsid w:val="000D6698"/>
    <w:rsid w:val="000E13D1"/>
    <w:rsid w:val="000E1690"/>
    <w:rsid w:val="000F05F3"/>
    <w:rsid w:val="000F1236"/>
    <w:rsid w:val="000F1E59"/>
    <w:rsid w:val="000F4027"/>
    <w:rsid w:val="000F436A"/>
    <w:rsid w:val="000F6BBA"/>
    <w:rsid w:val="000F6DB1"/>
    <w:rsid w:val="001019CF"/>
    <w:rsid w:val="00103279"/>
    <w:rsid w:val="00103CA7"/>
    <w:rsid w:val="0010688E"/>
    <w:rsid w:val="0011065C"/>
    <w:rsid w:val="00110F15"/>
    <w:rsid w:val="001114A6"/>
    <w:rsid w:val="00111F34"/>
    <w:rsid w:val="001120B7"/>
    <w:rsid w:val="00113436"/>
    <w:rsid w:val="00113864"/>
    <w:rsid w:val="00116F06"/>
    <w:rsid w:val="001171C6"/>
    <w:rsid w:val="0011725E"/>
    <w:rsid w:val="001175DE"/>
    <w:rsid w:val="00121063"/>
    <w:rsid w:val="00121E45"/>
    <w:rsid w:val="0012369C"/>
    <w:rsid w:val="00124908"/>
    <w:rsid w:val="00125EE4"/>
    <w:rsid w:val="00126259"/>
    <w:rsid w:val="00130B60"/>
    <w:rsid w:val="001347F3"/>
    <w:rsid w:val="00134916"/>
    <w:rsid w:val="0013799C"/>
    <w:rsid w:val="001401F1"/>
    <w:rsid w:val="00140248"/>
    <w:rsid w:val="00143A32"/>
    <w:rsid w:val="0014574E"/>
    <w:rsid w:val="00147113"/>
    <w:rsid w:val="001513D2"/>
    <w:rsid w:val="0015159F"/>
    <w:rsid w:val="001537F6"/>
    <w:rsid w:val="001608DB"/>
    <w:rsid w:val="00162506"/>
    <w:rsid w:val="00165326"/>
    <w:rsid w:val="00166AE3"/>
    <w:rsid w:val="0016719E"/>
    <w:rsid w:val="001673F2"/>
    <w:rsid w:val="00170BEE"/>
    <w:rsid w:val="0017134C"/>
    <w:rsid w:val="00172F2B"/>
    <w:rsid w:val="00176787"/>
    <w:rsid w:val="00176A1C"/>
    <w:rsid w:val="001802B3"/>
    <w:rsid w:val="0018058B"/>
    <w:rsid w:val="00180770"/>
    <w:rsid w:val="00180E72"/>
    <w:rsid w:val="00181A9A"/>
    <w:rsid w:val="0018250C"/>
    <w:rsid w:val="00182533"/>
    <w:rsid w:val="00183192"/>
    <w:rsid w:val="001831B3"/>
    <w:rsid w:val="00184FB2"/>
    <w:rsid w:val="001850AF"/>
    <w:rsid w:val="00187210"/>
    <w:rsid w:val="00192D5E"/>
    <w:rsid w:val="00195B42"/>
    <w:rsid w:val="001976C7"/>
    <w:rsid w:val="001A0ECC"/>
    <w:rsid w:val="001A4602"/>
    <w:rsid w:val="001A548B"/>
    <w:rsid w:val="001A5735"/>
    <w:rsid w:val="001B0794"/>
    <w:rsid w:val="001B0DF2"/>
    <w:rsid w:val="001B2780"/>
    <w:rsid w:val="001B49D3"/>
    <w:rsid w:val="001B7D6C"/>
    <w:rsid w:val="001C0172"/>
    <w:rsid w:val="001C1E53"/>
    <w:rsid w:val="001C1F27"/>
    <w:rsid w:val="001C316C"/>
    <w:rsid w:val="001C34A8"/>
    <w:rsid w:val="001C3A35"/>
    <w:rsid w:val="001C3CAC"/>
    <w:rsid w:val="001C41CC"/>
    <w:rsid w:val="001C60F0"/>
    <w:rsid w:val="001D1CE9"/>
    <w:rsid w:val="001D280B"/>
    <w:rsid w:val="001D2CF1"/>
    <w:rsid w:val="001D568D"/>
    <w:rsid w:val="001D575D"/>
    <w:rsid w:val="001D6B56"/>
    <w:rsid w:val="001D6CB4"/>
    <w:rsid w:val="001E46FD"/>
    <w:rsid w:val="001E5D67"/>
    <w:rsid w:val="001E6601"/>
    <w:rsid w:val="001E6CCA"/>
    <w:rsid w:val="001F1958"/>
    <w:rsid w:val="001F2675"/>
    <w:rsid w:val="001F4F6D"/>
    <w:rsid w:val="001F6138"/>
    <w:rsid w:val="001F7286"/>
    <w:rsid w:val="002022CF"/>
    <w:rsid w:val="00203A2D"/>
    <w:rsid w:val="00207631"/>
    <w:rsid w:val="00207762"/>
    <w:rsid w:val="00207830"/>
    <w:rsid w:val="00211A3B"/>
    <w:rsid w:val="002142A5"/>
    <w:rsid w:val="00217DB6"/>
    <w:rsid w:val="00220720"/>
    <w:rsid w:val="002234AF"/>
    <w:rsid w:val="00224F95"/>
    <w:rsid w:val="002310C3"/>
    <w:rsid w:val="00232FE9"/>
    <w:rsid w:val="00235A99"/>
    <w:rsid w:val="00237E46"/>
    <w:rsid w:val="0024032C"/>
    <w:rsid w:val="002416BE"/>
    <w:rsid w:val="0024183D"/>
    <w:rsid w:val="002421D2"/>
    <w:rsid w:val="002427AC"/>
    <w:rsid w:val="00243057"/>
    <w:rsid w:val="0024313B"/>
    <w:rsid w:val="0024365D"/>
    <w:rsid w:val="00244A1A"/>
    <w:rsid w:val="00245655"/>
    <w:rsid w:val="00246427"/>
    <w:rsid w:val="00246E62"/>
    <w:rsid w:val="002479C6"/>
    <w:rsid w:val="00250102"/>
    <w:rsid w:val="00251F4D"/>
    <w:rsid w:val="00255265"/>
    <w:rsid w:val="0025543E"/>
    <w:rsid w:val="00255A94"/>
    <w:rsid w:val="002577A8"/>
    <w:rsid w:val="00257A23"/>
    <w:rsid w:val="00261988"/>
    <w:rsid w:val="00262EFC"/>
    <w:rsid w:val="002677D2"/>
    <w:rsid w:val="00275EE0"/>
    <w:rsid w:val="002768DC"/>
    <w:rsid w:val="00282841"/>
    <w:rsid w:val="00283869"/>
    <w:rsid w:val="00283A92"/>
    <w:rsid w:val="0028413E"/>
    <w:rsid w:val="002845EC"/>
    <w:rsid w:val="00285A7C"/>
    <w:rsid w:val="00286357"/>
    <w:rsid w:val="002867A9"/>
    <w:rsid w:val="00286883"/>
    <w:rsid w:val="002907CE"/>
    <w:rsid w:val="00295479"/>
    <w:rsid w:val="00297C44"/>
    <w:rsid w:val="002A1C3E"/>
    <w:rsid w:val="002A3121"/>
    <w:rsid w:val="002A31C9"/>
    <w:rsid w:val="002A3268"/>
    <w:rsid w:val="002A59A5"/>
    <w:rsid w:val="002A7505"/>
    <w:rsid w:val="002B04B0"/>
    <w:rsid w:val="002B3F17"/>
    <w:rsid w:val="002B4312"/>
    <w:rsid w:val="002B4532"/>
    <w:rsid w:val="002B550C"/>
    <w:rsid w:val="002B6566"/>
    <w:rsid w:val="002B659A"/>
    <w:rsid w:val="002B6C89"/>
    <w:rsid w:val="002C1BD3"/>
    <w:rsid w:val="002C1DF4"/>
    <w:rsid w:val="002C25CE"/>
    <w:rsid w:val="002C2D4B"/>
    <w:rsid w:val="002C330D"/>
    <w:rsid w:val="002C3391"/>
    <w:rsid w:val="002C3A2C"/>
    <w:rsid w:val="002C4DE2"/>
    <w:rsid w:val="002C5453"/>
    <w:rsid w:val="002C606A"/>
    <w:rsid w:val="002D00F0"/>
    <w:rsid w:val="002D04D5"/>
    <w:rsid w:val="002D1AF7"/>
    <w:rsid w:val="002D1FFB"/>
    <w:rsid w:val="002D322F"/>
    <w:rsid w:val="002D34F9"/>
    <w:rsid w:val="002D53AF"/>
    <w:rsid w:val="002D615F"/>
    <w:rsid w:val="002E0395"/>
    <w:rsid w:val="002E0618"/>
    <w:rsid w:val="002E0792"/>
    <w:rsid w:val="002E07CB"/>
    <w:rsid w:val="002E1945"/>
    <w:rsid w:val="002E599D"/>
    <w:rsid w:val="002E6ACA"/>
    <w:rsid w:val="002F169F"/>
    <w:rsid w:val="00303AE2"/>
    <w:rsid w:val="00303BC6"/>
    <w:rsid w:val="00303FEC"/>
    <w:rsid w:val="00305D89"/>
    <w:rsid w:val="00306953"/>
    <w:rsid w:val="00306C9E"/>
    <w:rsid w:val="0030774E"/>
    <w:rsid w:val="00307F9E"/>
    <w:rsid w:val="0031520D"/>
    <w:rsid w:val="00315C85"/>
    <w:rsid w:val="00317D0C"/>
    <w:rsid w:val="003210A2"/>
    <w:rsid w:val="003211F0"/>
    <w:rsid w:val="00321C9A"/>
    <w:rsid w:val="003237A8"/>
    <w:rsid w:val="003244F5"/>
    <w:rsid w:val="00327391"/>
    <w:rsid w:val="00333F1D"/>
    <w:rsid w:val="0033429F"/>
    <w:rsid w:val="00334861"/>
    <w:rsid w:val="00334D6C"/>
    <w:rsid w:val="00335249"/>
    <w:rsid w:val="003354C4"/>
    <w:rsid w:val="0033705F"/>
    <w:rsid w:val="00337BB6"/>
    <w:rsid w:val="00340B06"/>
    <w:rsid w:val="00341467"/>
    <w:rsid w:val="003424DA"/>
    <w:rsid w:val="0034305C"/>
    <w:rsid w:val="00346BA2"/>
    <w:rsid w:val="003472D7"/>
    <w:rsid w:val="003474A5"/>
    <w:rsid w:val="00350802"/>
    <w:rsid w:val="0035236D"/>
    <w:rsid w:val="0035240B"/>
    <w:rsid w:val="00353E06"/>
    <w:rsid w:val="003557AF"/>
    <w:rsid w:val="00355860"/>
    <w:rsid w:val="003566FD"/>
    <w:rsid w:val="00356F1C"/>
    <w:rsid w:val="00357D36"/>
    <w:rsid w:val="003607E7"/>
    <w:rsid w:val="00361732"/>
    <w:rsid w:val="003626B5"/>
    <w:rsid w:val="00363B33"/>
    <w:rsid w:val="00366CB1"/>
    <w:rsid w:val="00372033"/>
    <w:rsid w:val="0037612C"/>
    <w:rsid w:val="0037720C"/>
    <w:rsid w:val="003778F0"/>
    <w:rsid w:val="00377C2C"/>
    <w:rsid w:val="00384C94"/>
    <w:rsid w:val="003905AD"/>
    <w:rsid w:val="003907ED"/>
    <w:rsid w:val="00391684"/>
    <w:rsid w:val="003921C0"/>
    <w:rsid w:val="00392D36"/>
    <w:rsid w:val="003943D7"/>
    <w:rsid w:val="003965D2"/>
    <w:rsid w:val="00396A2A"/>
    <w:rsid w:val="0039756E"/>
    <w:rsid w:val="003A012C"/>
    <w:rsid w:val="003A0336"/>
    <w:rsid w:val="003A0FD2"/>
    <w:rsid w:val="003A21BD"/>
    <w:rsid w:val="003A6A5B"/>
    <w:rsid w:val="003A72EF"/>
    <w:rsid w:val="003B013A"/>
    <w:rsid w:val="003B0197"/>
    <w:rsid w:val="003B0A25"/>
    <w:rsid w:val="003B18DD"/>
    <w:rsid w:val="003B5E37"/>
    <w:rsid w:val="003B6BC4"/>
    <w:rsid w:val="003C04E5"/>
    <w:rsid w:val="003C159E"/>
    <w:rsid w:val="003C1BB2"/>
    <w:rsid w:val="003C2793"/>
    <w:rsid w:val="003C2845"/>
    <w:rsid w:val="003C4301"/>
    <w:rsid w:val="003C4B58"/>
    <w:rsid w:val="003C751B"/>
    <w:rsid w:val="003D1461"/>
    <w:rsid w:val="003D16B0"/>
    <w:rsid w:val="003D16B4"/>
    <w:rsid w:val="003D2346"/>
    <w:rsid w:val="003D25D0"/>
    <w:rsid w:val="003D4E41"/>
    <w:rsid w:val="003E04EA"/>
    <w:rsid w:val="003E0CFA"/>
    <w:rsid w:val="003E1F97"/>
    <w:rsid w:val="003E4578"/>
    <w:rsid w:val="003E62AD"/>
    <w:rsid w:val="003E6675"/>
    <w:rsid w:val="003F005C"/>
    <w:rsid w:val="003F07E9"/>
    <w:rsid w:val="003F10A6"/>
    <w:rsid w:val="003F175E"/>
    <w:rsid w:val="003F1827"/>
    <w:rsid w:val="00400D6D"/>
    <w:rsid w:val="00402321"/>
    <w:rsid w:val="00404EE4"/>
    <w:rsid w:val="0040627E"/>
    <w:rsid w:val="004102AB"/>
    <w:rsid w:val="004127A0"/>
    <w:rsid w:val="00416A02"/>
    <w:rsid w:val="004172A9"/>
    <w:rsid w:val="004212E0"/>
    <w:rsid w:val="00423749"/>
    <w:rsid w:val="00423780"/>
    <w:rsid w:val="004260E7"/>
    <w:rsid w:val="00426B17"/>
    <w:rsid w:val="00426FC1"/>
    <w:rsid w:val="00427451"/>
    <w:rsid w:val="004303B6"/>
    <w:rsid w:val="00430A71"/>
    <w:rsid w:val="0043115C"/>
    <w:rsid w:val="00432573"/>
    <w:rsid w:val="00433EF6"/>
    <w:rsid w:val="00434FC3"/>
    <w:rsid w:val="0043576F"/>
    <w:rsid w:val="0043598A"/>
    <w:rsid w:val="004368E0"/>
    <w:rsid w:val="00437F49"/>
    <w:rsid w:val="00442A3F"/>
    <w:rsid w:val="00445FB9"/>
    <w:rsid w:val="0045013E"/>
    <w:rsid w:val="00457349"/>
    <w:rsid w:val="00463833"/>
    <w:rsid w:val="0046633F"/>
    <w:rsid w:val="00467BD5"/>
    <w:rsid w:val="00472A5A"/>
    <w:rsid w:val="0048044E"/>
    <w:rsid w:val="0048318E"/>
    <w:rsid w:val="00483B10"/>
    <w:rsid w:val="0048449B"/>
    <w:rsid w:val="004852A0"/>
    <w:rsid w:val="004869D9"/>
    <w:rsid w:val="00486E0F"/>
    <w:rsid w:val="00487D3D"/>
    <w:rsid w:val="00487E0B"/>
    <w:rsid w:val="00490BFB"/>
    <w:rsid w:val="00491C5A"/>
    <w:rsid w:val="004924B8"/>
    <w:rsid w:val="00493276"/>
    <w:rsid w:val="0049701B"/>
    <w:rsid w:val="004977B3"/>
    <w:rsid w:val="004A167E"/>
    <w:rsid w:val="004A387F"/>
    <w:rsid w:val="004A3EBC"/>
    <w:rsid w:val="004A4080"/>
    <w:rsid w:val="004A42FF"/>
    <w:rsid w:val="004A5C9C"/>
    <w:rsid w:val="004A6516"/>
    <w:rsid w:val="004B0126"/>
    <w:rsid w:val="004B1864"/>
    <w:rsid w:val="004C0453"/>
    <w:rsid w:val="004C0DA2"/>
    <w:rsid w:val="004C2983"/>
    <w:rsid w:val="004C56E0"/>
    <w:rsid w:val="004C5735"/>
    <w:rsid w:val="004C775C"/>
    <w:rsid w:val="004D4CD9"/>
    <w:rsid w:val="004E4380"/>
    <w:rsid w:val="004E4981"/>
    <w:rsid w:val="004E5211"/>
    <w:rsid w:val="004E5FD1"/>
    <w:rsid w:val="004E7203"/>
    <w:rsid w:val="004F03B6"/>
    <w:rsid w:val="004F4C26"/>
    <w:rsid w:val="004F50E0"/>
    <w:rsid w:val="00501D7F"/>
    <w:rsid w:val="00503662"/>
    <w:rsid w:val="00504155"/>
    <w:rsid w:val="00504887"/>
    <w:rsid w:val="0050497B"/>
    <w:rsid w:val="00504D29"/>
    <w:rsid w:val="00506A0E"/>
    <w:rsid w:val="0051488D"/>
    <w:rsid w:val="00514F2B"/>
    <w:rsid w:val="005154DF"/>
    <w:rsid w:val="00517BCE"/>
    <w:rsid w:val="0052013D"/>
    <w:rsid w:val="005204EC"/>
    <w:rsid w:val="00520FDC"/>
    <w:rsid w:val="00522AEA"/>
    <w:rsid w:val="005273A1"/>
    <w:rsid w:val="00531A22"/>
    <w:rsid w:val="00534903"/>
    <w:rsid w:val="00534A2F"/>
    <w:rsid w:val="005400E1"/>
    <w:rsid w:val="005448A6"/>
    <w:rsid w:val="00546BB3"/>
    <w:rsid w:val="00547498"/>
    <w:rsid w:val="00555EBD"/>
    <w:rsid w:val="00556E4F"/>
    <w:rsid w:val="00557D69"/>
    <w:rsid w:val="00561050"/>
    <w:rsid w:val="0056622A"/>
    <w:rsid w:val="00571A05"/>
    <w:rsid w:val="00571C7B"/>
    <w:rsid w:val="00572D8E"/>
    <w:rsid w:val="00573009"/>
    <w:rsid w:val="00577F65"/>
    <w:rsid w:val="00580199"/>
    <w:rsid w:val="005808CC"/>
    <w:rsid w:val="005822C9"/>
    <w:rsid w:val="00583A03"/>
    <w:rsid w:val="005863C8"/>
    <w:rsid w:val="00590D49"/>
    <w:rsid w:val="0059244B"/>
    <w:rsid w:val="0059290A"/>
    <w:rsid w:val="005954DE"/>
    <w:rsid w:val="0059623F"/>
    <w:rsid w:val="0059676E"/>
    <w:rsid w:val="005967F1"/>
    <w:rsid w:val="005A0414"/>
    <w:rsid w:val="005A05BF"/>
    <w:rsid w:val="005A172F"/>
    <w:rsid w:val="005A1D1B"/>
    <w:rsid w:val="005A28B1"/>
    <w:rsid w:val="005A5BE3"/>
    <w:rsid w:val="005A5EDA"/>
    <w:rsid w:val="005A6154"/>
    <w:rsid w:val="005A7784"/>
    <w:rsid w:val="005B029E"/>
    <w:rsid w:val="005B08C2"/>
    <w:rsid w:val="005B100E"/>
    <w:rsid w:val="005B12A7"/>
    <w:rsid w:val="005B1816"/>
    <w:rsid w:val="005B207B"/>
    <w:rsid w:val="005B23E1"/>
    <w:rsid w:val="005B33A7"/>
    <w:rsid w:val="005B365B"/>
    <w:rsid w:val="005B3CCA"/>
    <w:rsid w:val="005B4749"/>
    <w:rsid w:val="005B48CC"/>
    <w:rsid w:val="005B490E"/>
    <w:rsid w:val="005B4A7D"/>
    <w:rsid w:val="005B546A"/>
    <w:rsid w:val="005C0DE5"/>
    <w:rsid w:val="005C5B92"/>
    <w:rsid w:val="005D0A35"/>
    <w:rsid w:val="005D140B"/>
    <w:rsid w:val="005D2132"/>
    <w:rsid w:val="005D22B4"/>
    <w:rsid w:val="005D2F34"/>
    <w:rsid w:val="005D3E06"/>
    <w:rsid w:val="005D4C78"/>
    <w:rsid w:val="005D6497"/>
    <w:rsid w:val="005D7591"/>
    <w:rsid w:val="005E1E1A"/>
    <w:rsid w:val="005E237D"/>
    <w:rsid w:val="005E2616"/>
    <w:rsid w:val="005E37CF"/>
    <w:rsid w:val="005E3F2C"/>
    <w:rsid w:val="005E44B3"/>
    <w:rsid w:val="005E50A4"/>
    <w:rsid w:val="005F1627"/>
    <w:rsid w:val="005F1925"/>
    <w:rsid w:val="005F3B3D"/>
    <w:rsid w:val="005F7108"/>
    <w:rsid w:val="005F7159"/>
    <w:rsid w:val="005F73BF"/>
    <w:rsid w:val="00601B5C"/>
    <w:rsid w:val="00602053"/>
    <w:rsid w:val="00602519"/>
    <w:rsid w:val="006028A4"/>
    <w:rsid w:val="00602DA4"/>
    <w:rsid w:val="00603CFA"/>
    <w:rsid w:val="00604013"/>
    <w:rsid w:val="00605E15"/>
    <w:rsid w:val="00605FA2"/>
    <w:rsid w:val="00606951"/>
    <w:rsid w:val="00607F8C"/>
    <w:rsid w:val="00611068"/>
    <w:rsid w:val="00617F5A"/>
    <w:rsid w:val="00617F62"/>
    <w:rsid w:val="00623A9F"/>
    <w:rsid w:val="00623B65"/>
    <w:rsid w:val="0062655E"/>
    <w:rsid w:val="006270A7"/>
    <w:rsid w:val="0063021A"/>
    <w:rsid w:val="00630580"/>
    <w:rsid w:val="0063346F"/>
    <w:rsid w:val="00633CF5"/>
    <w:rsid w:val="006346FD"/>
    <w:rsid w:val="00635A02"/>
    <w:rsid w:val="00636552"/>
    <w:rsid w:val="0063702B"/>
    <w:rsid w:val="00642AB7"/>
    <w:rsid w:val="00644707"/>
    <w:rsid w:val="0064471F"/>
    <w:rsid w:val="00645078"/>
    <w:rsid w:val="006479EB"/>
    <w:rsid w:val="006504AA"/>
    <w:rsid w:val="00651854"/>
    <w:rsid w:val="00652DBC"/>
    <w:rsid w:val="006531A1"/>
    <w:rsid w:val="00654380"/>
    <w:rsid w:val="00657BAB"/>
    <w:rsid w:val="00660756"/>
    <w:rsid w:val="00661088"/>
    <w:rsid w:val="0066280A"/>
    <w:rsid w:val="00663C1E"/>
    <w:rsid w:val="006640FA"/>
    <w:rsid w:val="006644DA"/>
    <w:rsid w:val="006656B6"/>
    <w:rsid w:val="00665FD2"/>
    <w:rsid w:val="00666387"/>
    <w:rsid w:val="00670252"/>
    <w:rsid w:val="00670293"/>
    <w:rsid w:val="006709E2"/>
    <w:rsid w:val="00672651"/>
    <w:rsid w:val="00675216"/>
    <w:rsid w:val="006770CA"/>
    <w:rsid w:val="0068041B"/>
    <w:rsid w:val="00680D86"/>
    <w:rsid w:val="00682950"/>
    <w:rsid w:val="006852B3"/>
    <w:rsid w:val="0068762D"/>
    <w:rsid w:val="006876B0"/>
    <w:rsid w:val="0068783E"/>
    <w:rsid w:val="006878D9"/>
    <w:rsid w:val="00690316"/>
    <w:rsid w:val="00692BA0"/>
    <w:rsid w:val="00692D9B"/>
    <w:rsid w:val="0069301C"/>
    <w:rsid w:val="00693684"/>
    <w:rsid w:val="00694512"/>
    <w:rsid w:val="00696D61"/>
    <w:rsid w:val="006A055D"/>
    <w:rsid w:val="006A1723"/>
    <w:rsid w:val="006A1A1D"/>
    <w:rsid w:val="006A331B"/>
    <w:rsid w:val="006A465A"/>
    <w:rsid w:val="006A6C01"/>
    <w:rsid w:val="006A79E3"/>
    <w:rsid w:val="006B0B70"/>
    <w:rsid w:val="006B4A94"/>
    <w:rsid w:val="006B60F8"/>
    <w:rsid w:val="006B6FDA"/>
    <w:rsid w:val="006C21BB"/>
    <w:rsid w:val="006C2AD0"/>
    <w:rsid w:val="006C2EDA"/>
    <w:rsid w:val="006D3FDB"/>
    <w:rsid w:val="006D4F58"/>
    <w:rsid w:val="006D7A6D"/>
    <w:rsid w:val="006E0300"/>
    <w:rsid w:val="006E1010"/>
    <w:rsid w:val="006E25FC"/>
    <w:rsid w:val="006E4DD6"/>
    <w:rsid w:val="006E5141"/>
    <w:rsid w:val="006E5EBA"/>
    <w:rsid w:val="006E610C"/>
    <w:rsid w:val="006F1FF7"/>
    <w:rsid w:val="006F2086"/>
    <w:rsid w:val="006F2BD9"/>
    <w:rsid w:val="006F2D9B"/>
    <w:rsid w:val="007010C9"/>
    <w:rsid w:val="007012E1"/>
    <w:rsid w:val="007013F0"/>
    <w:rsid w:val="00701D68"/>
    <w:rsid w:val="007024AB"/>
    <w:rsid w:val="007041D4"/>
    <w:rsid w:val="00706FDF"/>
    <w:rsid w:val="00710D44"/>
    <w:rsid w:val="00716D6B"/>
    <w:rsid w:val="00717BF3"/>
    <w:rsid w:val="00720506"/>
    <w:rsid w:val="00720B55"/>
    <w:rsid w:val="00720C8C"/>
    <w:rsid w:val="0072111B"/>
    <w:rsid w:val="00722436"/>
    <w:rsid w:val="007225F4"/>
    <w:rsid w:val="0072594F"/>
    <w:rsid w:val="00733C9E"/>
    <w:rsid w:val="00737D1D"/>
    <w:rsid w:val="007405A4"/>
    <w:rsid w:val="0074111F"/>
    <w:rsid w:val="00742CD1"/>
    <w:rsid w:val="00744C38"/>
    <w:rsid w:val="00745A1F"/>
    <w:rsid w:val="00746853"/>
    <w:rsid w:val="0075704F"/>
    <w:rsid w:val="0076011F"/>
    <w:rsid w:val="00761BB5"/>
    <w:rsid w:val="00762C66"/>
    <w:rsid w:val="00763677"/>
    <w:rsid w:val="00765FAD"/>
    <w:rsid w:val="0077240F"/>
    <w:rsid w:val="00776140"/>
    <w:rsid w:val="00776637"/>
    <w:rsid w:val="007768A3"/>
    <w:rsid w:val="00780725"/>
    <w:rsid w:val="00780AA1"/>
    <w:rsid w:val="0078192A"/>
    <w:rsid w:val="007831DD"/>
    <w:rsid w:val="007854FD"/>
    <w:rsid w:val="00787054"/>
    <w:rsid w:val="007871CB"/>
    <w:rsid w:val="007904DA"/>
    <w:rsid w:val="007905C9"/>
    <w:rsid w:val="00791840"/>
    <w:rsid w:val="00792B9B"/>
    <w:rsid w:val="00792F1B"/>
    <w:rsid w:val="00797799"/>
    <w:rsid w:val="007A1658"/>
    <w:rsid w:val="007A2307"/>
    <w:rsid w:val="007A2B31"/>
    <w:rsid w:val="007A3C54"/>
    <w:rsid w:val="007A3E6B"/>
    <w:rsid w:val="007A585D"/>
    <w:rsid w:val="007A7AE5"/>
    <w:rsid w:val="007B0524"/>
    <w:rsid w:val="007B2FB5"/>
    <w:rsid w:val="007B3FEF"/>
    <w:rsid w:val="007B5213"/>
    <w:rsid w:val="007B56AF"/>
    <w:rsid w:val="007B685E"/>
    <w:rsid w:val="007C2838"/>
    <w:rsid w:val="007C486E"/>
    <w:rsid w:val="007C562C"/>
    <w:rsid w:val="007C6008"/>
    <w:rsid w:val="007D2F48"/>
    <w:rsid w:val="007D318F"/>
    <w:rsid w:val="007D3268"/>
    <w:rsid w:val="007D3A8A"/>
    <w:rsid w:val="007D3F52"/>
    <w:rsid w:val="007D4B82"/>
    <w:rsid w:val="007D4D80"/>
    <w:rsid w:val="007D6B77"/>
    <w:rsid w:val="007E10B9"/>
    <w:rsid w:val="007E2B02"/>
    <w:rsid w:val="007E343C"/>
    <w:rsid w:val="007E3985"/>
    <w:rsid w:val="007E69FC"/>
    <w:rsid w:val="007F027D"/>
    <w:rsid w:val="007F3A3D"/>
    <w:rsid w:val="007F4562"/>
    <w:rsid w:val="007F7279"/>
    <w:rsid w:val="008016D5"/>
    <w:rsid w:val="00803245"/>
    <w:rsid w:val="00804489"/>
    <w:rsid w:val="008048AD"/>
    <w:rsid w:val="00804A58"/>
    <w:rsid w:val="00805397"/>
    <w:rsid w:val="008074B6"/>
    <w:rsid w:val="00807727"/>
    <w:rsid w:val="00807BB1"/>
    <w:rsid w:val="008110BF"/>
    <w:rsid w:val="00811775"/>
    <w:rsid w:val="008119C7"/>
    <w:rsid w:val="0081208B"/>
    <w:rsid w:val="00822845"/>
    <w:rsid w:val="008239CC"/>
    <w:rsid w:val="00824091"/>
    <w:rsid w:val="0082499A"/>
    <w:rsid w:val="00824E73"/>
    <w:rsid w:val="00830E56"/>
    <w:rsid w:val="00831AB2"/>
    <w:rsid w:val="00832620"/>
    <w:rsid w:val="00837B7A"/>
    <w:rsid w:val="008431AD"/>
    <w:rsid w:val="0084451C"/>
    <w:rsid w:val="008514FB"/>
    <w:rsid w:val="00853607"/>
    <w:rsid w:val="00855AB2"/>
    <w:rsid w:val="00855D82"/>
    <w:rsid w:val="0085601B"/>
    <w:rsid w:val="00857DFB"/>
    <w:rsid w:val="00860755"/>
    <w:rsid w:val="0086171E"/>
    <w:rsid w:val="00863AC2"/>
    <w:rsid w:val="008649A5"/>
    <w:rsid w:val="00864CB9"/>
    <w:rsid w:val="008651C2"/>
    <w:rsid w:val="008655C0"/>
    <w:rsid w:val="0086576B"/>
    <w:rsid w:val="008709DD"/>
    <w:rsid w:val="00870D94"/>
    <w:rsid w:val="008723BC"/>
    <w:rsid w:val="00874773"/>
    <w:rsid w:val="008750D4"/>
    <w:rsid w:val="00875DD5"/>
    <w:rsid w:val="00880018"/>
    <w:rsid w:val="00881CA0"/>
    <w:rsid w:val="00883033"/>
    <w:rsid w:val="008831C4"/>
    <w:rsid w:val="00884F36"/>
    <w:rsid w:val="00885957"/>
    <w:rsid w:val="0088616C"/>
    <w:rsid w:val="008861B8"/>
    <w:rsid w:val="008869FC"/>
    <w:rsid w:val="00892769"/>
    <w:rsid w:val="00896BCD"/>
    <w:rsid w:val="00897F5A"/>
    <w:rsid w:val="008A1C44"/>
    <w:rsid w:val="008A1F0F"/>
    <w:rsid w:val="008A2A28"/>
    <w:rsid w:val="008A342B"/>
    <w:rsid w:val="008A3B5D"/>
    <w:rsid w:val="008A4416"/>
    <w:rsid w:val="008A487D"/>
    <w:rsid w:val="008A6F41"/>
    <w:rsid w:val="008A73A9"/>
    <w:rsid w:val="008B03BC"/>
    <w:rsid w:val="008B21C7"/>
    <w:rsid w:val="008B342E"/>
    <w:rsid w:val="008B45CD"/>
    <w:rsid w:val="008B5282"/>
    <w:rsid w:val="008B5F47"/>
    <w:rsid w:val="008B68C5"/>
    <w:rsid w:val="008B6DA2"/>
    <w:rsid w:val="008B7B55"/>
    <w:rsid w:val="008C0631"/>
    <w:rsid w:val="008C0F8A"/>
    <w:rsid w:val="008C2118"/>
    <w:rsid w:val="008C43E3"/>
    <w:rsid w:val="008C4B82"/>
    <w:rsid w:val="008C753A"/>
    <w:rsid w:val="008C7EAE"/>
    <w:rsid w:val="008D2558"/>
    <w:rsid w:val="008D2569"/>
    <w:rsid w:val="008D2B25"/>
    <w:rsid w:val="008D35C3"/>
    <w:rsid w:val="008D4122"/>
    <w:rsid w:val="008D5565"/>
    <w:rsid w:val="008D5FD8"/>
    <w:rsid w:val="008D7BD0"/>
    <w:rsid w:val="008D7D70"/>
    <w:rsid w:val="008E0AC6"/>
    <w:rsid w:val="008E0CE8"/>
    <w:rsid w:val="008E1E24"/>
    <w:rsid w:val="008E3B1F"/>
    <w:rsid w:val="008E40C7"/>
    <w:rsid w:val="008E6309"/>
    <w:rsid w:val="008E76D0"/>
    <w:rsid w:val="008F0A76"/>
    <w:rsid w:val="008F1803"/>
    <w:rsid w:val="008F1EF4"/>
    <w:rsid w:val="008F2E15"/>
    <w:rsid w:val="008F376B"/>
    <w:rsid w:val="008F4656"/>
    <w:rsid w:val="008F4770"/>
    <w:rsid w:val="008F5414"/>
    <w:rsid w:val="008F60DD"/>
    <w:rsid w:val="008F7D35"/>
    <w:rsid w:val="00901DC6"/>
    <w:rsid w:val="0090612C"/>
    <w:rsid w:val="00906EE8"/>
    <w:rsid w:val="00912222"/>
    <w:rsid w:val="009142F8"/>
    <w:rsid w:val="009156E3"/>
    <w:rsid w:val="00915A25"/>
    <w:rsid w:val="009164EA"/>
    <w:rsid w:val="00923197"/>
    <w:rsid w:val="0092548E"/>
    <w:rsid w:val="00927ECA"/>
    <w:rsid w:val="00930AFE"/>
    <w:rsid w:val="00933454"/>
    <w:rsid w:val="00936574"/>
    <w:rsid w:val="00937C74"/>
    <w:rsid w:val="00940EA3"/>
    <w:rsid w:val="00941B16"/>
    <w:rsid w:val="00943DDE"/>
    <w:rsid w:val="00945337"/>
    <w:rsid w:val="0094646D"/>
    <w:rsid w:val="00947F6C"/>
    <w:rsid w:val="00951202"/>
    <w:rsid w:val="0095192E"/>
    <w:rsid w:val="00951CF4"/>
    <w:rsid w:val="00953A7B"/>
    <w:rsid w:val="00955A1E"/>
    <w:rsid w:val="00955C80"/>
    <w:rsid w:val="0095749D"/>
    <w:rsid w:val="009615F4"/>
    <w:rsid w:val="00962E05"/>
    <w:rsid w:val="00962FC9"/>
    <w:rsid w:val="00963703"/>
    <w:rsid w:val="00963C13"/>
    <w:rsid w:val="00964179"/>
    <w:rsid w:val="009647DA"/>
    <w:rsid w:val="009678B4"/>
    <w:rsid w:val="00967CA8"/>
    <w:rsid w:val="009706FA"/>
    <w:rsid w:val="00970FCA"/>
    <w:rsid w:val="00974E2C"/>
    <w:rsid w:val="0097505F"/>
    <w:rsid w:val="00975857"/>
    <w:rsid w:val="00977481"/>
    <w:rsid w:val="00977BC9"/>
    <w:rsid w:val="009808FB"/>
    <w:rsid w:val="00981C9A"/>
    <w:rsid w:val="0098235F"/>
    <w:rsid w:val="009831EA"/>
    <w:rsid w:val="009841EE"/>
    <w:rsid w:val="0098537D"/>
    <w:rsid w:val="00985577"/>
    <w:rsid w:val="0098781A"/>
    <w:rsid w:val="00987BC7"/>
    <w:rsid w:val="0099130B"/>
    <w:rsid w:val="00992069"/>
    <w:rsid w:val="009929C0"/>
    <w:rsid w:val="00993BF8"/>
    <w:rsid w:val="0099458A"/>
    <w:rsid w:val="00996AA5"/>
    <w:rsid w:val="009A2A5B"/>
    <w:rsid w:val="009A469B"/>
    <w:rsid w:val="009A6E06"/>
    <w:rsid w:val="009A719D"/>
    <w:rsid w:val="009B0AEC"/>
    <w:rsid w:val="009B2CB3"/>
    <w:rsid w:val="009B32FB"/>
    <w:rsid w:val="009C1CE8"/>
    <w:rsid w:val="009C21F1"/>
    <w:rsid w:val="009C23E9"/>
    <w:rsid w:val="009C371C"/>
    <w:rsid w:val="009C38CE"/>
    <w:rsid w:val="009C4E4B"/>
    <w:rsid w:val="009C4FDC"/>
    <w:rsid w:val="009C613E"/>
    <w:rsid w:val="009C6254"/>
    <w:rsid w:val="009C798C"/>
    <w:rsid w:val="009D100F"/>
    <w:rsid w:val="009D142B"/>
    <w:rsid w:val="009D409A"/>
    <w:rsid w:val="009D50F0"/>
    <w:rsid w:val="009D714E"/>
    <w:rsid w:val="009D71A3"/>
    <w:rsid w:val="009E2CC5"/>
    <w:rsid w:val="009E7AC1"/>
    <w:rsid w:val="009F16A1"/>
    <w:rsid w:val="009F25E0"/>
    <w:rsid w:val="009F4109"/>
    <w:rsid w:val="00A019F9"/>
    <w:rsid w:val="00A02A83"/>
    <w:rsid w:val="00A03DC7"/>
    <w:rsid w:val="00A03FFC"/>
    <w:rsid w:val="00A073CF"/>
    <w:rsid w:val="00A078FA"/>
    <w:rsid w:val="00A11B18"/>
    <w:rsid w:val="00A13EC7"/>
    <w:rsid w:val="00A1453D"/>
    <w:rsid w:val="00A17182"/>
    <w:rsid w:val="00A17769"/>
    <w:rsid w:val="00A26A89"/>
    <w:rsid w:val="00A276D6"/>
    <w:rsid w:val="00A30C31"/>
    <w:rsid w:val="00A31C27"/>
    <w:rsid w:val="00A3681C"/>
    <w:rsid w:val="00A37A35"/>
    <w:rsid w:val="00A403AB"/>
    <w:rsid w:val="00A40E0C"/>
    <w:rsid w:val="00A43DFB"/>
    <w:rsid w:val="00A44D1B"/>
    <w:rsid w:val="00A4560F"/>
    <w:rsid w:val="00A50A66"/>
    <w:rsid w:val="00A617CC"/>
    <w:rsid w:val="00A6222A"/>
    <w:rsid w:val="00A62E1C"/>
    <w:rsid w:val="00A636DD"/>
    <w:rsid w:val="00A63E8D"/>
    <w:rsid w:val="00A66CA6"/>
    <w:rsid w:val="00A70BB1"/>
    <w:rsid w:val="00A758B9"/>
    <w:rsid w:val="00A77CBA"/>
    <w:rsid w:val="00A77E4B"/>
    <w:rsid w:val="00A82992"/>
    <w:rsid w:val="00A83A84"/>
    <w:rsid w:val="00A855FA"/>
    <w:rsid w:val="00A85FCF"/>
    <w:rsid w:val="00A86F1A"/>
    <w:rsid w:val="00A870A3"/>
    <w:rsid w:val="00A914DD"/>
    <w:rsid w:val="00A91797"/>
    <w:rsid w:val="00A91B48"/>
    <w:rsid w:val="00A92ACF"/>
    <w:rsid w:val="00A96FCB"/>
    <w:rsid w:val="00AA0F13"/>
    <w:rsid w:val="00AA2238"/>
    <w:rsid w:val="00AA25F1"/>
    <w:rsid w:val="00AA2AEA"/>
    <w:rsid w:val="00AA2C73"/>
    <w:rsid w:val="00AA2FF6"/>
    <w:rsid w:val="00AA31A1"/>
    <w:rsid w:val="00AA4947"/>
    <w:rsid w:val="00AA6E8E"/>
    <w:rsid w:val="00AA736C"/>
    <w:rsid w:val="00AB24BD"/>
    <w:rsid w:val="00AB71DA"/>
    <w:rsid w:val="00AC08A2"/>
    <w:rsid w:val="00AC1A34"/>
    <w:rsid w:val="00AC1DF7"/>
    <w:rsid w:val="00AC22E4"/>
    <w:rsid w:val="00AC2BDD"/>
    <w:rsid w:val="00AC2FBC"/>
    <w:rsid w:val="00AC563E"/>
    <w:rsid w:val="00AC66C5"/>
    <w:rsid w:val="00AD0146"/>
    <w:rsid w:val="00AD1E33"/>
    <w:rsid w:val="00AD2795"/>
    <w:rsid w:val="00AD3FE9"/>
    <w:rsid w:val="00AD42BE"/>
    <w:rsid w:val="00AD5DBC"/>
    <w:rsid w:val="00AD7F9B"/>
    <w:rsid w:val="00AE11B9"/>
    <w:rsid w:val="00AE1606"/>
    <w:rsid w:val="00AE1918"/>
    <w:rsid w:val="00AE37CB"/>
    <w:rsid w:val="00AE466A"/>
    <w:rsid w:val="00AE48CA"/>
    <w:rsid w:val="00AE4C3E"/>
    <w:rsid w:val="00AE6D61"/>
    <w:rsid w:val="00AF3D29"/>
    <w:rsid w:val="00AF499A"/>
    <w:rsid w:val="00AF5D6C"/>
    <w:rsid w:val="00AF6489"/>
    <w:rsid w:val="00B04854"/>
    <w:rsid w:val="00B065F5"/>
    <w:rsid w:val="00B07AA9"/>
    <w:rsid w:val="00B1101A"/>
    <w:rsid w:val="00B11D41"/>
    <w:rsid w:val="00B13FC8"/>
    <w:rsid w:val="00B156BD"/>
    <w:rsid w:val="00B160B4"/>
    <w:rsid w:val="00B231F7"/>
    <w:rsid w:val="00B242C7"/>
    <w:rsid w:val="00B24996"/>
    <w:rsid w:val="00B26FA8"/>
    <w:rsid w:val="00B27A81"/>
    <w:rsid w:val="00B27CA9"/>
    <w:rsid w:val="00B300DA"/>
    <w:rsid w:val="00B30E04"/>
    <w:rsid w:val="00B3253F"/>
    <w:rsid w:val="00B34573"/>
    <w:rsid w:val="00B3603B"/>
    <w:rsid w:val="00B41626"/>
    <w:rsid w:val="00B41C22"/>
    <w:rsid w:val="00B435C1"/>
    <w:rsid w:val="00B47647"/>
    <w:rsid w:val="00B51B50"/>
    <w:rsid w:val="00B55861"/>
    <w:rsid w:val="00B564E8"/>
    <w:rsid w:val="00B56C50"/>
    <w:rsid w:val="00B61FBD"/>
    <w:rsid w:val="00B63CC2"/>
    <w:rsid w:val="00B660C1"/>
    <w:rsid w:val="00B66F1C"/>
    <w:rsid w:val="00B67BF7"/>
    <w:rsid w:val="00B742C0"/>
    <w:rsid w:val="00B75092"/>
    <w:rsid w:val="00B774A2"/>
    <w:rsid w:val="00B807EE"/>
    <w:rsid w:val="00B83B8A"/>
    <w:rsid w:val="00B92FC0"/>
    <w:rsid w:val="00B979DC"/>
    <w:rsid w:val="00BA1438"/>
    <w:rsid w:val="00BA1D11"/>
    <w:rsid w:val="00BA230C"/>
    <w:rsid w:val="00BA25D6"/>
    <w:rsid w:val="00BA4604"/>
    <w:rsid w:val="00BA4D72"/>
    <w:rsid w:val="00BA5A60"/>
    <w:rsid w:val="00BA6B41"/>
    <w:rsid w:val="00BA764B"/>
    <w:rsid w:val="00BA7CC8"/>
    <w:rsid w:val="00BB022F"/>
    <w:rsid w:val="00BB2B44"/>
    <w:rsid w:val="00BB5FDB"/>
    <w:rsid w:val="00BC288D"/>
    <w:rsid w:val="00BC3D0D"/>
    <w:rsid w:val="00BC55B9"/>
    <w:rsid w:val="00BD17DC"/>
    <w:rsid w:val="00BD6E24"/>
    <w:rsid w:val="00BE228B"/>
    <w:rsid w:val="00BE2524"/>
    <w:rsid w:val="00BE2D95"/>
    <w:rsid w:val="00BE4C16"/>
    <w:rsid w:val="00BE54B9"/>
    <w:rsid w:val="00BE5F70"/>
    <w:rsid w:val="00BE6638"/>
    <w:rsid w:val="00BF0BF7"/>
    <w:rsid w:val="00BF1E47"/>
    <w:rsid w:val="00BF62FB"/>
    <w:rsid w:val="00C00623"/>
    <w:rsid w:val="00C00789"/>
    <w:rsid w:val="00C016D9"/>
    <w:rsid w:val="00C03374"/>
    <w:rsid w:val="00C0402A"/>
    <w:rsid w:val="00C044CC"/>
    <w:rsid w:val="00C04586"/>
    <w:rsid w:val="00C047F3"/>
    <w:rsid w:val="00C0571B"/>
    <w:rsid w:val="00C10E01"/>
    <w:rsid w:val="00C115D4"/>
    <w:rsid w:val="00C11723"/>
    <w:rsid w:val="00C11834"/>
    <w:rsid w:val="00C12E89"/>
    <w:rsid w:val="00C13891"/>
    <w:rsid w:val="00C209BD"/>
    <w:rsid w:val="00C213C9"/>
    <w:rsid w:val="00C2504C"/>
    <w:rsid w:val="00C3073E"/>
    <w:rsid w:val="00C30D38"/>
    <w:rsid w:val="00C42D3E"/>
    <w:rsid w:val="00C446E1"/>
    <w:rsid w:val="00C45DAB"/>
    <w:rsid w:val="00C46835"/>
    <w:rsid w:val="00C473C9"/>
    <w:rsid w:val="00C478A5"/>
    <w:rsid w:val="00C5122C"/>
    <w:rsid w:val="00C53515"/>
    <w:rsid w:val="00C552D0"/>
    <w:rsid w:val="00C56E30"/>
    <w:rsid w:val="00C617B1"/>
    <w:rsid w:val="00C62797"/>
    <w:rsid w:val="00C62853"/>
    <w:rsid w:val="00C62CB8"/>
    <w:rsid w:val="00C63538"/>
    <w:rsid w:val="00C63E88"/>
    <w:rsid w:val="00C640C0"/>
    <w:rsid w:val="00C666BF"/>
    <w:rsid w:val="00C67FA4"/>
    <w:rsid w:val="00C73A06"/>
    <w:rsid w:val="00C75955"/>
    <w:rsid w:val="00C80724"/>
    <w:rsid w:val="00C81935"/>
    <w:rsid w:val="00C833F7"/>
    <w:rsid w:val="00C84286"/>
    <w:rsid w:val="00C86BB2"/>
    <w:rsid w:val="00C873BD"/>
    <w:rsid w:val="00C87BF9"/>
    <w:rsid w:val="00C91223"/>
    <w:rsid w:val="00C927F3"/>
    <w:rsid w:val="00C93428"/>
    <w:rsid w:val="00CB1F77"/>
    <w:rsid w:val="00CB3665"/>
    <w:rsid w:val="00CB4E4A"/>
    <w:rsid w:val="00CB68F8"/>
    <w:rsid w:val="00CB70F9"/>
    <w:rsid w:val="00CC1305"/>
    <w:rsid w:val="00CC1982"/>
    <w:rsid w:val="00CC3129"/>
    <w:rsid w:val="00CC4296"/>
    <w:rsid w:val="00CC5532"/>
    <w:rsid w:val="00CC5B22"/>
    <w:rsid w:val="00CC6C3B"/>
    <w:rsid w:val="00CC6C4E"/>
    <w:rsid w:val="00CD081B"/>
    <w:rsid w:val="00CD3C8F"/>
    <w:rsid w:val="00CD6928"/>
    <w:rsid w:val="00CE0596"/>
    <w:rsid w:val="00CE12F5"/>
    <w:rsid w:val="00CE2BB0"/>
    <w:rsid w:val="00CE375E"/>
    <w:rsid w:val="00CE3821"/>
    <w:rsid w:val="00CE6A5D"/>
    <w:rsid w:val="00CE7970"/>
    <w:rsid w:val="00CE7AFA"/>
    <w:rsid w:val="00CF1A80"/>
    <w:rsid w:val="00CF4675"/>
    <w:rsid w:val="00CF6F07"/>
    <w:rsid w:val="00CF73D4"/>
    <w:rsid w:val="00D00A3B"/>
    <w:rsid w:val="00D01965"/>
    <w:rsid w:val="00D025B5"/>
    <w:rsid w:val="00D0303F"/>
    <w:rsid w:val="00D03A27"/>
    <w:rsid w:val="00D05235"/>
    <w:rsid w:val="00D07716"/>
    <w:rsid w:val="00D105D7"/>
    <w:rsid w:val="00D12802"/>
    <w:rsid w:val="00D13F13"/>
    <w:rsid w:val="00D15868"/>
    <w:rsid w:val="00D1599D"/>
    <w:rsid w:val="00D16AF4"/>
    <w:rsid w:val="00D16D88"/>
    <w:rsid w:val="00D17690"/>
    <w:rsid w:val="00D21AB4"/>
    <w:rsid w:val="00D23E53"/>
    <w:rsid w:val="00D2400C"/>
    <w:rsid w:val="00D27649"/>
    <w:rsid w:val="00D3088D"/>
    <w:rsid w:val="00D31B86"/>
    <w:rsid w:val="00D320E7"/>
    <w:rsid w:val="00D323D5"/>
    <w:rsid w:val="00D3394E"/>
    <w:rsid w:val="00D3569E"/>
    <w:rsid w:val="00D3622A"/>
    <w:rsid w:val="00D41FCC"/>
    <w:rsid w:val="00D51C6E"/>
    <w:rsid w:val="00D6106A"/>
    <w:rsid w:val="00D610E2"/>
    <w:rsid w:val="00D62EB7"/>
    <w:rsid w:val="00D62FC1"/>
    <w:rsid w:val="00D6679F"/>
    <w:rsid w:val="00D675DF"/>
    <w:rsid w:val="00D67A31"/>
    <w:rsid w:val="00D709AE"/>
    <w:rsid w:val="00D74832"/>
    <w:rsid w:val="00D76370"/>
    <w:rsid w:val="00D80D77"/>
    <w:rsid w:val="00D8197B"/>
    <w:rsid w:val="00D821C9"/>
    <w:rsid w:val="00D83DB9"/>
    <w:rsid w:val="00D86A7A"/>
    <w:rsid w:val="00D871F1"/>
    <w:rsid w:val="00D9079E"/>
    <w:rsid w:val="00D918C0"/>
    <w:rsid w:val="00D92B91"/>
    <w:rsid w:val="00D94F1A"/>
    <w:rsid w:val="00D95E19"/>
    <w:rsid w:val="00D96CAB"/>
    <w:rsid w:val="00D96D46"/>
    <w:rsid w:val="00DA028F"/>
    <w:rsid w:val="00DA0A8A"/>
    <w:rsid w:val="00DA175E"/>
    <w:rsid w:val="00DA1DA6"/>
    <w:rsid w:val="00DA4D2C"/>
    <w:rsid w:val="00DA6D54"/>
    <w:rsid w:val="00DA7E98"/>
    <w:rsid w:val="00DB088F"/>
    <w:rsid w:val="00DB1A69"/>
    <w:rsid w:val="00DB209B"/>
    <w:rsid w:val="00DB33CB"/>
    <w:rsid w:val="00DB4AD0"/>
    <w:rsid w:val="00DB4FC7"/>
    <w:rsid w:val="00DB600E"/>
    <w:rsid w:val="00DC1814"/>
    <w:rsid w:val="00DC2D8B"/>
    <w:rsid w:val="00DC618B"/>
    <w:rsid w:val="00DC698F"/>
    <w:rsid w:val="00DD007D"/>
    <w:rsid w:val="00DD02D5"/>
    <w:rsid w:val="00DD0522"/>
    <w:rsid w:val="00DD2F7F"/>
    <w:rsid w:val="00DD3733"/>
    <w:rsid w:val="00DD4BFA"/>
    <w:rsid w:val="00DD6F7F"/>
    <w:rsid w:val="00DE072D"/>
    <w:rsid w:val="00DE090E"/>
    <w:rsid w:val="00DE2FAF"/>
    <w:rsid w:val="00DE464E"/>
    <w:rsid w:val="00DE59E5"/>
    <w:rsid w:val="00DF02E4"/>
    <w:rsid w:val="00DF0D5E"/>
    <w:rsid w:val="00DF11BB"/>
    <w:rsid w:val="00DF1321"/>
    <w:rsid w:val="00DF6161"/>
    <w:rsid w:val="00DF74C3"/>
    <w:rsid w:val="00E02E58"/>
    <w:rsid w:val="00E06418"/>
    <w:rsid w:val="00E130B2"/>
    <w:rsid w:val="00E15D13"/>
    <w:rsid w:val="00E20729"/>
    <w:rsid w:val="00E21237"/>
    <w:rsid w:val="00E2317B"/>
    <w:rsid w:val="00E272A8"/>
    <w:rsid w:val="00E314A9"/>
    <w:rsid w:val="00E31A78"/>
    <w:rsid w:val="00E3399A"/>
    <w:rsid w:val="00E33CE3"/>
    <w:rsid w:val="00E33E29"/>
    <w:rsid w:val="00E34308"/>
    <w:rsid w:val="00E35B03"/>
    <w:rsid w:val="00E372D0"/>
    <w:rsid w:val="00E400E4"/>
    <w:rsid w:val="00E42952"/>
    <w:rsid w:val="00E4540E"/>
    <w:rsid w:val="00E45AC5"/>
    <w:rsid w:val="00E47AF1"/>
    <w:rsid w:val="00E47CD0"/>
    <w:rsid w:val="00E5011D"/>
    <w:rsid w:val="00E516EB"/>
    <w:rsid w:val="00E51EC5"/>
    <w:rsid w:val="00E5397C"/>
    <w:rsid w:val="00E54E23"/>
    <w:rsid w:val="00E55151"/>
    <w:rsid w:val="00E56787"/>
    <w:rsid w:val="00E62482"/>
    <w:rsid w:val="00E625A0"/>
    <w:rsid w:val="00E646AA"/>
    <w:rsid w:val="00E66120"/>
    <w:rsid w:val="00E67FBE"/>
    <w:rsid w:val="00E71753"/>
    <w:rsid w:val="00E73CD0"/>
    <w:rsid w:val="00E75799"/>
    <w:rsid w:val="00E81803"/>
    <w:rsid w:val="00E86034"/>
    <w:rsid w:val="00E86723"/>
    <w:rsid w:val="00E9000D"/>
    <w:rsid w:val="00E901F2"/>
    <w:rsid w:val="00E91CFD"/>
    <w:rsid w:val="00E93D20"/>
    <w:rsid w:val="00E958F7"/>
    <w:rsid w:val="00E968AF"/>
    <w:rsid w:val="00E9704E"/>
    <w:rsid w:val="00E97E22"/>
    <w:rsid w:val="00EA0F84"/>
    <w:rsid w:val="00EA16F1"/>
    <w:rsid w:val="00EA20A6"/>
    <w:rsid w:val="00EA3A4D"/>
    <w:rsid w:val="00EB0D0C"/>
    <w:rsid w:val="00EB25BF"/>
    <w:rsid w:val="00EB5AD4"/>
    <w:rsid w:val="00EB64F0"/>
    <w:rsid w:val="00EB6ACB"/>
    <w:rsid w:val="00EB7CF1"/>
    <w:rsid w:val="00EC3091"/>
    <w:rsid w:val="00EC4876"/>
    <w:rsid w:val="00EC76FC"/>
    <w:rsid w:val="00ED57AD"/>
    <w:rsid w:val="00ED6946"/>
    <w:rsid w:val="00EE0587"/>
    <w:rsid w:val="00EE0C77"/>
    <w:rsid w:val="00EE1946"/>
    <w:rsid w:val="00EE252D"/>
    <w:rsid w:val="00EE26C1"/>
    <w:rsid w:val="00EE28CB"/>
    <w:rsid w:val="00EE5E78"/>
    <w:rsid w:val="00EE5EC3"/>
    <w:rsid w:val="00EE640E"/>
    <w:rsid w:val="00EE7902"/>
    <w:rsid w:val="00EE7B4B"/>
    <w:rsid w:val="00EE7DA1"/>
    <w:rsid w:val="00EF140B"/>
    <w:rsid w:val="00EF1C22"/>
    <w:rsid w:val="00EF2FBF"/>
    <w:rsid w:val="00EF6520"/>
    <w:rsid w:val="00EF6633"/>
    <w:rsid w:val="00F00A30"/>
    <w:rsid w:val="00F00AC3"/>
    <w:rsid w:val="00F023CE"/>
    <w:rsid w:val="00F038A3"/>
    <w:rsid w:val="00F05207"/>
    <w:rsid w:val="00F05477"/>
    <w:rsid w:val="00F06668"/>
    <w:rsid w:val="00F07E0C"/>
    <w:rsid w:val="00F14727"/>
    <w:rsid w:val="00F1688C"/>
    <w:rsid w:val="00F16DB8"/>
    <w:rsid w:val="00F170C7"/>
    <w:rsid w:val="00F172D1"/>
    <w:rsid w:val="00F20F85"/>
    <w:rsid w:val="00F227C5"/>
    <w:rsid w:val="00F23A6B"/>
    <w:rsid w:val="00F24BBF"/>
    <w:rsid w:val="00F3371A"/>
    <w:rsid w:val="00F33D12"/>
    <w:rsid w:val="00F36ED9"/>
    <w:rsid w:val="00F401B5"/>
    <w:rsid w:val="00F40CC1"/>
    <w:rsid w:val="00F4235C"/>
    <w:rsid w:val="00F428AF"/>
    <w:rsid w:val="00F4297F"/>
    <w:rsid w:val="00F4417C"/>
    <w:rsid w:val="00F45131"/>
    <w:rsid w:val="00F520DA"/>
    <w:rsid w:val="00F53A30"/>
    <w:rsid w:val="00F5403A"/>
    <w:rsid w:val="00F5417E"/>
    <w:rsid w:val="00F54FBA"/>
    <w:rsid w:val="00F56509"/>
    <w:rsid w:val="00F57AF1"/>
    <w:rsid w:val="00F606F5"/>
    <w:rsid w:val="00F61C17"/>
    <w:rsid w:val="00F6333E"/>
    <w:rsid w:val="00F6420D"/>
    <w:rsid w:val="00F642D6"/>
    <w:rsid w:val="00F658E7"/>
    <w:rsid w:val="00F70C1C"/>
    <w:rsid w:val="00F70FC5"/>
    <w:rsid w:val="00F7242C"/>
    <w:rsid w:val="00F73D62"/>
    <w:rsid w:val="00F7436C"/>
    <w:rsid w:val="00F7488F"/>
    <w:rsid w:val="00F7725F"/>
    <w:rsid w:val="00F77522"/>
    <w:rsid w:val="00F80756"/>
    <w:rsid w:val="00F809D0"/>
    <w:rsid w:val="00F82239"/>
    <w:rsid w:val="00F82703"/>
    <w:rsid w:val="00F847BB"/>
    <w:rsid w:val="00F84AFF"/>
    <w:rsid w:val="00F8587C"/>
    <w:rsid w:val="00F86327"/>
    <w:rsid w:val="00F90F1A"/>
    <w:rsid w:val="00F93B8C"/>
    <w:rsid w:val="00F9686B"/>
    <w:rsid w:val="00F97DC5"/>
    <w:rsid w:val="00FA0083"/>
    <w:rsid w:val="00FA4567"/>
    <w:rsid w:val="00FA4EE2"/>
    <w:rsid w:val="00FA75A7"/>
    <w:rsid w:val="00FA76BB"/>
    <w:rsid w:val="00FA7C1D"/>
    <w:rsid w:val="00FB02C1"/>
    <w:rsid w:val="00FB2AB5"/>
    <w:rsid w:val="00FB2E02"/>
    <w:rsid w:val="00FC0601"/>
    <w:rsid w:val="00FC10F9"/>
    <w:rsid w:val="00FC1EB1"/>
    <w:rsid w:val="00FC6184"/>
    <w:rsid w:val="00FD0214"/>
    <w:rsid w:val="00FD1AF2"/>
    <w:rsid w:val="00FD4DD1"/>
    <w:rsid w:val="00FD5E3D"/>
    <w:rsid w:val="00FD5F92"/>
    <w:rsid w:val="00FD6A93"/>
    <w:rsid w:val="00FD6D15"/>
    <w:rsid w:val="00FD7AF6"/>
    <w:rsid w:val="00FE05AC"/>
    <w:rsid w:val="00FE177B"/>
    <w:rsid w:val="00FE2F3F"/>
    <w:rsid w:val="00FF0238"/>
    <w:rsid w:val="00FF0420"/>
    <w:rsid w:val="00FF3655"/>
    <w:rsid w:val="00FF3C90"/>
    <w:rsid w:val="00FF596B"/>
    <w:rsid w:val="00FF7631"/>
    <w:rsid w:val="00FF77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6F0E"/>
  <w15:docId w15:val="{B71A74B9-0E41-4991-9253-770021AF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1C7B"/>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rPr>
  </w:style>
  <w:style w:type="character" w:customStyle="1" w:styleId="RozdziaIDKZnak">
    <w:name w:val="Rozdział I DK Znak"/>
    <w:link w:val="RozdziaIDK"/>
    <w:uiPriority w:val="99"/>
    <w:rsid w:val="00A96FCB"/>
    <w:rPr>
      <w:rFonts w:ascii="Cambria" w:eastAsia="Calibri" w:hAnsi="Cambria" w:cs="Times New Roman"/>
      <w:b/>
      <w:sz w:val="28"/>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6"/>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10"/>
      </w:numPr>
      <w:tabs>
        <w:tab w:val="clear" w:pos="4536"/>
        <w:tab w:val="clear" w:pos="9072"/>
      </w:tabs>
      <w:spacing w:before="360" w:after="60" w:line="360" w:lineRule="auto"/>
      <w:ind w:left="284"/>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11"/>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243057"/>
    <w:pPr>
      <w:numPr>
        <w:numId w:val="7"/>
      </w:num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243057"/>
    <w:pPr>
      <w:numPr>
        <w:numId w:val="32"/>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243057"/>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E44B3"/>
    <w:pPr>
      <w:spacing w:after="100"/>
    </w:pPr>
    <w:rPr>
      <w:b/>
    </w:r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numbering" w:customStyle="1" w:styleId="NumeracjaTre-K2">
    <w:name w:val="NumeracjaTreść-K2"/>
    <w:uiPriority w:val="99"/>
    <w:rsid w:val="00BB2B44"/>
  </w:style>
  <w:style w:type="numbering" w:customStyle="1" w:styleId="NumeracjaTre-K3">
    <w:name w:val="NumeracjaTreść-K3"/>
    <w:uiPriority w:val="99"/>
    <w:rsid w:val="005400E1"/>
  </w:style>
  <w:style w:type="character" w:customStyle="1" w:styleId="Nierozpoznanawzmianka5">
    <w:name w:val="Nierozpoznana wzmianka5"/>
    <w:basedOn w:val="Domylnaczcionkaakapitu"/>
    <w:uiPriority w:val="99"/>
    <w:semiHidden/>
    <w:unhideWhenUsed/>
    <w:rsid w:val="003943D7"/>
    <w:rPr>
      <w:color w:val="605E5C"/>
      <w:shd w:val="clear" w:color="auto" w:fill="E1DFDD"/>
    </w:rPr>
  </w:style>
  <w:style w:type="paragraph" w:styleId="Spistreci3">
    <w:name w:val="toc 3"/>
    <w:basedOn w:val="Normalny"/>
    <w:next w:val="Normalny"/>
    <w:autoRedefine/>
    <w:uiPriority w:val="39"/>
    <w:unhideWhenUsed/>
    <w:rsid w:val="00571C7B"/>
    <w:pPr>
      <w:spacing w:after="100" w:line="259" w:lineRule="auto"/>
      <w:ind w:left="440"/>
    </w:pPr>
    <w:rPr>
      <w:rFonts w:asciiTheme="minorHAnsi" w:eastAsiaTheme="minorEastAsia" w:hAnsiTheme="minorHAnsi" w:cs="Times New Roman"/>
      <w:lang w:eastAsia="pl-PL"/>
    </w:rPr>
  </w:style>
  <w:style w:type="character" w:customStyle="1" w:styleId="normaltextrun">
    <w:name w:val="normaltextrun"/>
    <w:basedOn w:val="Domylnaczcionkaakapitu"/>
    <w:rsid w:val="00337BB6"/>
  </w:style>
  <w:style w:type="numbering" w:customStyle="1" w:styleId="Numeracja-K1">
    <w:name w:val="Numeracja-K1"/>
    <w:uiPriority w:val="99"/>
    <w:rsid w:val="00A50A66"/>
    <w:pPr>
      <w:numPr>
        <w:numId w:val="5"/>
      </w:numPr>
    </w:pPr>
  </w:style>
  <w:style w:type="numbering" w:customStyle="1" w:styleId="NumeracjaTre-K4">
    <w:name w:val="NumeracjaTreść-K4"/>
    <w:uiPriority w:val="99"/>
    <w:rsid w:val="00A50A66"/>
    <w:pPr>
      <w:numPr>
        <w:numId w:val="1"/>
      </w:numPr>
    </w:pPr>
  </w:style>
  <w:style w:type="numbering" w:customStyle="1" w:styleId="Numeracja-K2">
    <w:name w:val="Numeracja-K2"/>
    <w:uiPriority w:val="99"/>
    <w:rsid w:val="005448A6"/>
  </w:style>
  <w:style w:type="numbering" w:customStyle="1" w:styleId="NumeracjaTre-K5">
    <w:name w:val="NumeracjaTreść-K5"/>
    <w:uiPriority w:val="99"/>
    <w:rsid w:val="00F73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_desk_SOWA_EFS_CST@warmia.mazury.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europejskie-bez-barier/dostepnosc-pl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owa2021.efs.gov.pl/" TargetMode="External"/><Relationship Id="rId4" Type="http://schemas.openxmlformats.org/officeDocument/2006/relationships/settings" Target="settings.xml"/><Relationship Id="rId9" Type="http://schemas.openxmlformats.org/officeDocument/2006/relationships/hyperlink" Target="https://sowa2021.efs.gov.p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cb.europa.eu/stats/policy_and_exchange_rates/euro_reference_exchange_rates/html/eurofxref-graph-pln.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93B52-6218-41AC-9234-EA97C5B46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10445</Words>
  <Characters>62673</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72973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Michał Komorkiewicz</cp:lastModifiedBy>
  <cp:revision>4</cp:revision>
  <cp:lastPrinted>2023-06-20T09:02:00Z</cp:lastPrinted>
  <dcterms:created xsi:type="dcterms:W3CDTF">2023-06-29T10:10:00Z</dcterms:created>
  <dcterms:modified xsi:type="dcterms:W3CDTF">2023-06-29T10:44:00Z</dcterms:modified>
</cp:coreProperties>
</file>