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EA7CC" w14:textId="7D7F546E" w:rsidR="00A70520" w:rsidRDefault="00A70520" w:rsidP="00DC7A99">
      <w:pPr>
        <w:pStyle w:val="Akapitzlist"/>
        <w:ind w:left="0"/>
        <w:jc w:val="both"/>
        <w:rPr>
          <w:b/>
        </w:rPr>
      </w:pPr>
      <w:r w:rsidRPr="00A70520">
        <w:rPr>
          <w:b/>
        </w:rPr>
        <w:t>Pytani</w:t>
      </w:r>
      <w:r w:rsidR="00DA60C0">
        <w:rPr>
          <w:b/>
        </w:rPr>
        <w:t>a</w:t>
      </w:r>
      <w:r w:rsidRPr="00A70520">
        <w:rPr>
          <w:b/>
        </w:rPr>
        <w:t xml:space="preserve"> w sprawie naboru nr FEWM 05 01 -IZ 00 001/25 i naboru nr FEWM 05 01 -IZ 00 002/25 Infrastruktura edukacyjna.</w:t>
      </w:r>
    </w:p>
    <w:p w14:paraId="41961773" w14:textId="77777777" w:rsidR="00DC7A99" w:rsidRDefault="00DC7A99" w:rsidP="00DC7A99">
      <w:pPr>
        <w:pStyle w:val="Akapitzlist"/>
        <w:ind w:left="0"/>
        <w:jc w:val="both"/>
        <w:rPr>
          <w:b/>
        </w:rPr>
      </w:pPr>
    </w:p>
    <w:p w14:paraId="0835A33D" w14:textId="0E68EF6F" w:rsidR="00DC7A99" w:rsidRPr="00A70520" w:rsidRDefault="00DC7A99" w:rsidP="00383C30">
      <w:pPr>
        <w:pStyle w:val="Akapitzlist"/>
        <w:numPr>
          <w:ilvl w:val="0"/>
          <w:numId w:val="1"/>
        </w:numPr>
        <w:ind w:left="0"/>
        <w:jc w:val="both"/>
        <w:rPr>
          <w:b/>
        </w:rPr>
      </w:pPr>
      <w:r>
        <w:rPr>
          <w:b/>
        </w:rPr>
        <w:t>Pytanie</w:t>
      </w:r>
    </w:p>
    <w:p w14:paraId="45981D64" w14:textId="77777777" w:rsidR="002A64DA" w:rsidRDefault="004E4812" w:rsidP="00383C30">
      <w:pPr>
        <w:pStyle w:val="Akapitzlist"/>
        <w:ind w:left="0"/>
        <w:jc w:val="both"/>
      </w:pPr>
      <w:r w:rsidRPr="004E4812">
        <w:t>Czy Wnioskodawca może wziąć udział w niniejszym naborze, jeżeli prowadzi Oddział Technikum w</w:t>
      </w:r>
      <w:r w:rsidR="00383C30">
        <w:t> </w:t>
      </w:r>
      <w:r w:rsidRPr="004E4812">
        <w:t>Olsztynie na podstawie umowy najmu długoterminowego, zawartej pomiędzy właścicielem budynku a przedsiębiorstwem? Przedmiotem planowanego projektu jest doposażenie szkoły oraz wykonanie drobnych prac adaptacyjnych.</w:t>
      </w:r>
    </w:p>
    <w:p w14:paraId="77AC6ED3" w14:textId="77777777" w:rsidR="002A64DA" w:rsidRPr="002141C8" w:rsidRDefault="002A64DA" w:rsidP="00383C30">
      <w:pPr>
        <w:pStyle w:val="Akapitzlist"/>
        <w:ind w:left="0"/>
        <w:jc w:val="both"/>
        <w:rPr>
          <w:b/>
          <w:u w:val="single"/>
        </w:rPr>
      </w:pPr>
      <w:r w:rsidRPr="002141C8">
        <w:rPr>
          <w:b/>
          <w:u w:val="single"/>
        </w:rPr>
        <w:t>Odpowiedz:</w:t>
      </w:r>
    </w:p>
    <w:p w14:paraId="2D248B44" w14:textId="63811F89" w:rsidR="004A620F" w:rsidRPr="004A620F" w:rsidRDefault="004A620F" w:rsidP="00383C30">
      <w:pPr>
        <w:pStyle w:val="Akapitzlist"/>
        <w:ind w:left="0"/>
        <w:jc w:val="both"/>
      </w:pPr>
    </w:p>
    <w:p w14:paraId="6DFF77DB" w14:textId="77777777" w:rsidR="004A620F" w:rsidRPr="00DC7A99" w:rsidRDefault="004A620F" w:rsidP="00383C30">
      <w:pPr>
        <w:pStyle w:val="Akapitzlist"/>
        <w:numPr>
          <w:ilvl w:val="0"/>
          <w:numId w:val="4"/>
        </w:numPr>
        <w:ind w:left="426"/>
        <w:jc w:val="both"/>
        <w:rPr>
          <w:color w:val="0070C0"/>
        </w:rPr>
      </w:pPr>
      <w:r w:rsidRPr="00DC7A99">
        <w:rPr>
          <w:color w:val="0070C0"/>
        </w:rPr>
        <w:t>w przypadku prac adaptacyjnych niezbędne jest posiadanie zgody właściciela nieruchomości, na</w:t>
      </w:r>
      <w:r w:rsidR="00383C30" w:rsidRPr="00DC7A99">
        <w:rPr>
          <w:color w:val="0070C0"/>
        </w:rPr>
        <w:t> </w:t>
      </w:r>
      <w:r w:rsidRPr="00DC7A99">
        <w:rPr>
          <w:color w:val="0070C0"/>
        </w:rPr>
        <w:t>przeprowadzenie planowanego zakresu prac budowlanych;</w:t>
      </w:r>
    </w:p>
    <w:p w14:paraId="7CA609AF" w14:textId="77777777" w:rsidR="001469AB" w:rsidRPr="00DC7A99" w:rsidRDefault="004A620F" w:rsidP="00383C30">
      <w:pPr>
        <w:pStyle w:val="Akapitzlist"/>
        <w:numPr>
          <w:ilvl w:val="0"/>
          <w:numId w:val="4"/>
        </w:numPr>
        <w:ind w:left="426"/>
        <w:jc w:val="both"/>
        <w:rPr>
          <w:color w:val="0070C0"/>
        </w:rPr>
      </w:pPr>
      <w:r w:rsidRPr="00DC7A99">
        <w:rPr>
          <w:color w:val="0070C0"/>
        </w:rPr>
        <w:t xml:space="preserve">umowa najmu </w:t>
      </w:r>
      <w:r w:rsidR="001469AB" w:rsidRPr="00DC7A99">
        <w:rPr>
          <w:bCs/>
          <w:color w:val="0070C0"/>
        </w:rPr>
        <w:t xml:space="preserve">powinna </w:t>
      </w:r>
      <w:r w:rsidRPr="00DC7A99">
        <w:rPr>
          <w:bCs/>
          <w:color w:val="0070C0"/>
        </w:rPr>
        <w:t>potwierdzać prawo do nieruchomości na cały okres realizacji i </w:t>
      </w:r>
      <w:r w:rsidR="001469AB" w:rsidRPr="00DC7A99">
        <w:rPr>
          <w:bCs/>
          <w:color w:val="0070C0"/>
        </w:rPr>
        <w:t>trwałości projektu;</w:t>
      </w:r>
    </w:p>
    <w:p w14:paraId="08CE8BF8" w14:textId="77777777" w:rsidR="004A620F" w:rsidRPr="00DC7A99" w:rsidRDefault="0012139B" w:rsidP="00383C30">
      <w:pPr>
        <w:pStyle w:val="Akapitzlist"/>
        <w:numPr>
          <w:ilvl w:val="0"/>
          <w:numId w:val="4"/>
        </w:numPr>
        <w:ind w:left="426"/>
        <w:jc w:val="both"/>
        <w:rPr>
          <w:color w:val="0070C0"/>
        </w:rPr>
      </w:pPr>
      <w:r w:rsidRPr="00DC7A99">
        <w:rPr>
          <w:color w:val="0070C0"/>
        </w:rPr>
        <w:t>o</w:t>
      </w:r>
      <w:r w:rsidR="001469AB" w:rsidRPr="00DC7A99">
        <w:rPr>
          <w:color w:val="0070C0"/>
        </w:rPr>
        <w:t>biekt, w którym planowana jest realizacja projektu, musi być dostępny dla osób z niepełnosprawnościami (</w:t>
      </w:r>
      <w:proofErr w:type="spellStart"/>
      <w:r w:rsidR="001469AB" w:rsidRPr="00DC7A99">
        <w:rPr>
          <w:color w:val="0070C0"/>
        </w:rPr>
        <w:t>OzN</w:t>
      </w:r>
      <w:proofErr w:type="spellEnd"/>
      <w:r w:rsidR="001469AB" w:rsidRPr="00DC7A99">
        <w:rPr>
          <w:color w:val="0070C0"/>
        </w:rPr>
        <w:t>) na wszystkich poziomach budynku, na których przewidziano prowadzenie zajęć. Oznacza to, że jeżeli projekt zakłada np. remont łazienek zlokalizowanych na</w:t>
      </w:r>
      <w:r w:rsidR="00383C30" w:rsidRPr="00DC7A99">
        <w:rPr>
          <w:color w:val="0070C0"/>
        </w:rPr>
        <w:t> </w:t>
      </w:r>
      <w:r w:rsidR="001469AB" w:rsidRPr="00DC7A99">
        <w:rPr>
          <w:color w:val="0070C0"/>
        </w:rPr>
        <w:t xml:space="preserve">pierwszym piętrze w celu ich dostosowania do potrzeb </w:t>
      </w:r>
      <w:proofErr w:type="spellStart"/>
      <w:r w:rsidR="001469AB" w:rsidRPr="00DC7A99">
        <w:rPr>
          <w:color w:val="0070C0"/>
        </w:rPr>
        <w:t>OzN</w:t>
      </w:r>
      <w:proofErr w:type="spellEnd"/>
      <w:r w:rsidR="001469AB" w:rsidRPr="00DC7A99">
        <w:rPr>
          <w:color w:val="0070C0"/>
        </w:rPr>
        <w:t>, a budynek nie posiada komunikacji pionowej (np. windy), to koszty dostosowania takich pomieszczeń są uznawane za</w:t>
      </w:r>
      <w:r w:rsidRPr="00DC7A99">
        <w:rPr>
          <w:color w:val="0070C0"/>
        </w:rPr>
        <w:t> </w:t>
      </w:r>
      <w:r w:rsidR="001469AB" w:rsidRPr="00DC7A99">
        <w:rPr>
          <w:color w:val="0070C0"/>
        </w:rPr>
        <w:t>niekwalifikowalne. Brak zapewnienia dostępu do tego piętra uniemożliwia bowiem osobom z niepełnosprawnościami skorzystanie z dostosowanej infrastruktury, co stoi w sprzeczności z</w:t>
      </w:r>
      <w:r w:rsidRPr="00DC7A99">
        <w:rPr>
          <w:color w:val="0070C0"/>
        </w:rPr>
        <w:t> zasadą powszechnej dostępności obiektu;</w:t>
      </w:r>
    </w:p>
    <w:p w14:paraId="76DC5346" w14:textId="77777777" w:rsidR="004A620F" w:rsidRPr="00DC7A99" w:rsidRDefault="0012139B" w:rsidP="00383C30">
      <w:pPr>
        <w:pStyle w:val="Akapitzlist"/>
        <w:numPr>
          <w:ilvl w:val="0"/>
          <w:numId w:val="4"/>
        </w:numPr>
        <w:ind w:left="426"/>
        <w:jc w:val="both"/>
        <w:rPr>
          <w:color w:val="0070C0"/>
        </w:rPr>
      </w:pPr>
      <w:r w:rsidRPr="00DC7A99">
        <w:rPr>
          <w:color w:val="0070C0"/>
        </w:rPr>
        <w:t>w</w:t>
      </w:r>
      <w:r w:rsidR="004A620F" w:rsidRPr="00DC7A99">
        <w:rPr>
          <w:color w:val="0070C0"/>
        </w:rPr>
        <w:t xml:space="preserve"> przypadku braku pełnej dostępności, odpowiednie działania mające na celu jej zapewnienie muszą zostać ujęte w ramach planowanego projektu.</w:t>
      </w:r>
    </w:p>
    <w:p w14:paraId="7D73AEBE" w14:textId="77777777" w:rsidR="004A620F" w:rsidRPr="00DC7A99" w:rsidRDefault="0012139B" w:rsidP="00383C30">
      <w:pPr>
        <w:pStyle w:val="Akapitzlist"/>
        <w:numPr>
          <w:ilvl w:val="0"/>
          <w:numId w:val="4"/>
        </w:numPr>
        <w:ind w:left="426"/>
        <w:jc w:val="both"/>
        <w:rPr>
          <w:color w:val="0070C0"/>
        </w:rPr>
      </w:pPr>
      <w:r w:rsidRPr="00DC7A99">
        <w:rPr>
          <w:color w:val="0070C0"/>
        </w:rPr>
        <w:t>d</w:t>
      </w:r>
      <w:r w:rsidR="004A620F" w:rsidRPr="00DC7A99">
        <w:rPr>
          <w:color w:val="0070C0"/>
        </w:rPr>
        <w:t>oposażenie może dotyczyć wyłącznie uczniów ze specjalnymi potrzebami edukacyjnymi (SPE).</w:t>
      </w:r>
    </w:p>
    <w:p w14:paraId="5A03BB37" w14:textId="77777777" w:rsidR="004A620F" w:rsidRPr="00DC7A99" w:rsidRDefault="004A620F" w:rsidP="00383C30">
      <w:pPr>
        <w:pStyle w:val="Akapitzlist"/>
        <w:numPr>
          <w:ilvl w:val="0"/>
          <w:numId w:val="4"/>
        </w:numPr>
        <w:ind w:left="426"/>
        <w:jc w:val="both"/>
        <w:rPr>
          <w:color w:val="0070C0"/>
        </w:rPr>
      </w:pPr>
      <w:r w:rsidRPr="00DC7A99">
        <w:rPr>
          <w:color w:val="0070C0"/>
        </w:rPr>
        <w:t>Brak zapewnienia dostępności uniemożliwi uzyskanie wsparcia dla projektu.</w:t>
      </w:r>
    </w:p>
    <w:p w14:paraId="5C320120" w14:textId="77777777" w:rsidR="004E4812" w:rsidRPr="004E4812" w:rsidRDefault="004E4812" w:rsidP="002A64DA">
      <w:pPr>
        <w:pStyle w:val="Akapitzlist"/>
        <w:ind w:left="426"/>
        <w:jc w:val="both"/>
      </w:pPr>
    </w:p>
    <w:p w14:paraId="056201CB" w14:textId="48835463" w:rsidR="00CA547D" w:rsidRDefault="00CA547D" w:rsidP="00383C30">
      <w:pPr>
        <w:pStyle w:val="Akapitzlist"/>
        <w:numPr>
          <w:ilvl w:val="0"/>
          <w:numId w:val="1"/>
        </w:numPr>
        <w:ind w:left="0"/>
        <w:jc w:val="both"/>
        <w:rPr>
          <w:b/>
        </w:rPr>
      </w:pPr>
      <w:r>
        <w:rPr>
          <w:b/>
        </w:rPr>
        <w:t>Pytanie</w:t>
      </w:r>
    </w:p>
    <w:p w14:paraId="1BEB8212" w14:textId="77777777" w:rsidR="002A64DA" w:rsidRDefault="004E4812" w:rsidP="00383C30">
      <w:pPr>
        <w:pStyle w:val="Akapitzlist"/>
        <w:ind w:left="0"/>
        <w:jc w:val="both"/>
      </w:pPr>
      <w:r w:rsidRPr="004E4812">
        <w:t>Proszę o informację, czy w ramach ww. naboru Gmina, będąca organem prowadzącym szkołę podstawową, może aplikować o dofinansowanie przebudowy oddziału przedszkolnego funkcjonującego w strukturach tej szkoły, w celu zwiększenia jego dostępności. W oddziale tym uczęszczają dzieci posiadające orzeczenia o niepełnosprawności oraz orzeczenia o po</w:t>
      </w:r>
      <w:r>
        <w:t>trzebie kształcenia specjalnego?</w:t>
      </w:r>
    </w:p>
    <w:p w14:paraId="34E99E4B" w14:textId="77777777" w:rsidR="00CA547D" w:rsidRPr="002141C8" w:rsidRDefault="00CA547D" w:rsidP="00383C30">
      <w:pPr>
        <w:pStyle w:val="Akapitzlist"/>
        <w:ind w:left="0"/>
        <w:jc w:val="both"/>
        <w:rPr>
          <w:b/>
          <w:u w:val="single"/>
        </w:rPr>
      </w:pPr>
      <w:r w:rsidRPr="002141C8">
        <w:rPr>
          <w:b/>
          <w:u w:val="single"/>
        </w:rPr>
        <w:t>Odpowiedz:</w:t>
      </w:r>
    </w:p>
    <w:p w14:paraId="016A6E1B" w14:textId="7A5C1195" w:rsidR="004E4812" w:rsidRPr="00DC7A99" w:rsidRDefault="00E42F41" w:rsidP="00383C30">
      <w:pPr>
        <w:pStyle w:val="Akapitzlist"/>
        <w:ind w:left="0"/>
        <w:jc w:val="both"/>
        <w:rPr>
          <w:color w:val="0070C0"/>
        </w:rPr>
      </w:pPr>
      <w:r w:rsidRPr="00DC7A99">
        <w:rPr>
          <w:bCs/>
          <w:color w:val="0070C0"/>
        </w:rPr>
        <w:t>-</w:t>
      </w:r>
      <w:r w:rsidR="004E4812" w:rsidRPr="00DC7A99">
        <w:rPr>
          <w:bCs/>
          <w:color w:val="0070C0"/>
        </w:rPr>
        <w:t xml:space="preserve"> w ramach Działania 5.1 „Infrastruktura edukacyjna” nie przewiduje się możliwości wsparcia przedszkoli. </w:t>
      </w:r>
      <w:r w:rsidR="004E4812" w:rsidRPr="00DC7A99">
        <w:rPr>
          <w:color w:val="0070C0"/>
        </w:rPr>
        <w:t xml:space="preserve">W związku z tym, w naborach </w:t>
      </w:r>
      <w:r w:rsidR="004E4812" w:rsidRPr="00DC7A99">
        <w:rPr>
          <w:bCs/>
          <w:color w:val="0070C0"/>
        </w:rPr>
        <w:t>FEWM.05.01-IZ.00-001/25</w:t>
      </w:r>
      <w:r w:rsidR="004E4812" w:rsidRPr="00DC7A99">
        <w:rPr>
          <w:color w:val="0070C0"/>
        </w:rPr>
        <w:t xml:space="preserve"> oraz </w:t>
      </w:r>
      <w:r w:rsidR="004E4812" w:rsidRPr="00DC7A99">
        <w:rPr>
          <w:bCs/>
          <w:color w:val="0070C0"/>
        </w:rPr>
        <w:t>FEWM.05.01-IZ.00-002/25</w:t>
      </w:r>
      <w:r w:rsidR="004E4812" w:rsidRPr="00DC7A99">
        <w:rPr>
          <w:color w:val="0070C0"/>
        </w:rPr>
        <w:t xml:space="preserve"> nie dopuszcza się finansowania przedszkoli, oddziałów przedszkolnych ani innych form opieki przedszkolnej. Ponadto, nie</w:t>
      </w:r>
      <w:r w:rsidR="00474071" w:rsidRPr="00DC7A99">
        <w:rPr>
          <w:color w:val="0070C0"/>
        </w:rPr>
        <w:t> </w:t>
      </w:r>
      <w:r w:rsidR="004E4812" w:rsidRPr="00DC7A99">
        <w:rPr>
          <w:color w:val="0070C0"/>
        </w:rPr>
        <w:t xml:space="preserve">przewiduje się możliwości wspierania szkół specjalnych ani innych placówek prowadzących do segregacji jakiejkolwiek grupy </w:t>
      </w:r>
      <w:proofErr w:type="spellStart"/>
      <w:r w:rsidR="004E4812" w:rsidRPr="00DC7A99">
        <w:rPr>
          <w:color w:val="0070C0"/>
        </w:rPr>
        <w:t>defaworyzowanej</w:t>
      </w:r>
      <w:proofErr w:type="spellEnd"/>
      <w:r w:rsidR="004E4812" w:rsidRPr="00DC7A99">
        <w:rPr>
          <w:color w:val="0070C0"/>
        </w:rPr>
        <w:t xml:space="preserve"> i/lub zagrożonej wykluczeniem społecznym (w tym kształcenia specjalnego).</w:t>
      </w:r>
    </w:p>
    <w:p w14:paraId="6B0EA087" w14:textId="14C431ED" w:rsidR="004E4812" w:rsidRPr="00DC7A99" w:rsidRDefault="004E4812" w:rsidP="00383C30">
      <w:pPr>
        <w:pStyle w:val="Akapitzlist"/>
        <w:ind w:left="0"/>
        <w:jc w:val="both"/>
        <w:rPr>
          <w:color w:val="0070C0"/>
        </w:rPr>
      </w:pPr>
      <w:r w:rsidRPr="00DC7A99">
        <w:rPr>
          <w:color w:val="0070C0"/>
        </w:rPr>
        <w:t>Wsparcie w ramach przedmiotowych naborów skierowane jest na inwestycje w infrastrukturę oraz wyposażenie placówek oświatowych prowadzących edukację na poziomie podstawowym, ponadpodstawowym i wyższym – w celu zwiększenia dostępności dla uczniów ze</w:t>
      </w:r>
      <w:r w:rsidR="00383C30" w:rsidRPr="00DC7A99">
        <w:rPr>
          <w:color w:val="0070C0"/>
        </w:rPr>
        <w:t> </w:t>
      </w:r>
      <w:r w:rsidRPr="00DC7A99">
        <w:rPr>
          <w:color w:val="0070C0"/>
        </w:rPr>
        <w:t>specjalnymi potrzebami edukacyjnymi (SPE).</w:t>
      </w:r>
    </w:p>
    <w:p w14:paraId="2B314704" w14:textId="77777777" w:rsidR="004E4812" w:rsidRPr="00DC7A99" w:rsidRDefault="004E4812" w:rsidP="00383C30">
      <w:pPr>
        <w:pStyle w:val="Akapitzlist"/>
        <w:ind w:left="0"/>
        <w:jc w:val="both"/>
        <w:rPr>
          <w:color w:val="0070C0"/>
        </w:rPr>
      </w:pPr>
      <w:r w:rsidRPr="00DC7A99">
        <w:rPr>
          <w:color w:val="0070C0"/>
        </w:rPr>
        <w:t>Szczegółowe warunki wsparcia określone zostały w dokumentacji konkursowej dla ww. naborów.</w:t>
      </w:r>
    </w:p>
    <w:p w14:paraId="1C7E4018" w14:textId="391B83CE" w:rsidR="0012139B" w:rsidRPr="00DC7A99" w:rsidRDefault="0012139B" w:rsidP="004E4812">
      <w:pPr>
        <w:pStyle w:val="Akapitzlist"/>
        <w:ind w:left="426"/>
        <w:jc w:val="both"/>
        <w:rPr>
          <w:color w:val="0070C0"/>
        </w:rPr>
      </w:pPr>
    </w:p>
    <w:p w14:paraId="6F9C4748" w14:textId="59678001" w:rsidR="00E42F41" w:rsidRDefault="00E42F41" w:rsidP="004E4812">
      <w:pPr>
        <w:pStyle w:val="Akapitzlist"/>
        <w:ind w:left="426"/>
        <w:jc w:val="both"/>
      </w:pPr>
    </w:p>
    <w:p w14:paraId="72A68119" w14:textId="77777777" w:rsidR="00E42F41" w:rsidRPr="004E4812" w:rsidRDefault="00E42F41" w:rsidP="004E4812">
      <w:pPr>
        <w:pStyle w:val="Akapitzlist"/>
        <w:ind w:left="426"/>
        <w:jc w:val="both"/>
      </w:pPr>
    </w:p>
    <w:p w14:paraId="326D91D1" w14:textId="5A79EDE0" w:rsidR="00A70520" w:rsidRPr="00A70520" w:rsidRDefault="00A70520" w:rsidP="00383C30">
      <w:pPr>
        <w:pStyle w:val="Akapitzlist"/>
        <w:numPr>
          <w:ilvl w:val="0"/>
          <w:numId w:val="1"/>
        </w:numPr>
        <w:ind w:left="0"/>
        <w:rPr>
          <w:b/>
        </w:rPr>
      </w:pPr>
      <w:r w:rsidRPr="00A70520">
        <w:rPr>
          <w:b/>
        </w:rPr>
        <w:lastRenderedPageBreak/>
        <w:t xml:space="preserve">Pytanie </w:t>
      </w:r>
    </w:p>
    <w:p w14:paraId="307FC223" w14:textId="70CD82EC" w:rsidR="00AA7A2F" w:rsidRDefault="00AA7A2F" w:rsidP="00383C30">
      <w:pPr>
        <w:pStyle w:val="Akapitzlist"/>
        <w:ind w:left="0"/>
        <w:jc w:val="both"/>
      </w:pPr>
      <w:r>
        <w:t xml:space="preserve"> pytanie dotyczące grupy uczniów o specjalnych potrzebach edukacyjnych </w:t>
      </w:r>
      <w:r w:rsidR="00A70520">
        <w:t xml:space="preserve">- </w:t>
      </w:r>
      <w:r>
        <w:t>Rozporządzenie MEN z 30 kwietnia 2013 w sprawie zasad udzielania i organizacji pomocy psychologiczno- pedagogicznej w</w:t>
      </w:r>
      <w:r w:rsidR="00383C30">
        <w:t> </w:t>
      </w:r>
      <w:r>
        <w:t>publicznych przedszkolach, szkołach i placówkach określa, że grupa uczniów o specjalnych potrzebach edukacyjnych to osoby:</w:t>
      </w:r>
    </w:p>
    <w:p w14:paraId="30478FEF" w14:textId="77777777" w:rsidR="00A70520" w:rsidRDefault="00AA7A2F" w:rsidP="00F37C12">
      <w:pPr>
        <w:pStyle w:val="Akapitzlist"/>
        <w:numPr>
          <w:ilvl w:val="0"/>
          <w:numId w:val="5"/>
        </w:numPr>
        <w:ind w:left="426"/>
      </w:pPr>
      <w:r>
        <w:t xml:space="preserve">z niepełnosprawnościami </w:t>
      </w:r>
    </w:p>
    <w:p w14:paraId="446987C9" w14:textId="77777777" w:rsidR="00A70520" w:rsidRDefault="00AA7A2F" w:rsidP="00F37C12">
      <w:pPr>
        <w:pStyle w:val="Akapitzlist"/>
        <w:numPr>
          <w:ilvl w:val="0"/>
          <w:numId w:val="5"/>
        </w:numPr>
        <w:ind w:left="426"/>
      </w:pPr>
      <w:r>
        <w:t xml:space="preserve">z niedostosowaniem społecznym </w:t>
      </w:r>
    </w:p>
    <w:p w14:paraId="1F8AFA32" w14:textId="77777777" w:rsidR="00A70520" w:rsidRDefault="00AA7A2F" w:rsidP="00F37C12">
      <w:pPr>
        <w:pStyle w:val="Akapitzlist"/>
        <w:numPr>
          <w:ilvl w:val="0"/>
          <w:numId w:val="5"/>
        </w:numPr>
        <w:ind w:left="426"/>
      </w:pPr>
      <w:r>
        <w:t>z zagrożeniem niedostosowania społecznego</w:t>
      </w:r>
    </w:p>
    <w:p w14:paraId="31AD1147" w14:textId="77777777" w:rsidR="00A70520" w:rsidRDefault="00AA7A2F" w:rsidP="00F37C12">
      <w:pPr>
        <w:pStyle w:val="Akapitzlist"/>
        <w:numPr>
          <w:ilvl w:val="0"/>
          <w:numId w:val="5"/>
        </w:numPr>
        <w:ind w:left="426"/>
      </w:pPr>
      <w:r>
        <w:t>ze szczególnymi uzdolnieniami</w:t>
      </w:r>
    </w:p>
    <w:p w14:paraId="577CA4B6" w14:textId="77777777" w:rsidR="00A70520" w:rsidRDefault="00AA7A2F" w:rsidP="00F37C12">
      <w:pPr>
        <w:pStyle w:val="Akapitzlist"/>
        <w:numPr>
          <w:ilvl w:val="0"/>
          <w:numId w:val="5"/>
        </w:numPr>
        <w:ind w:left="426"/>
      </w:pPr>
      <w:r>
        <w:t>ze specyficznymi trudnościami w uczeniu się</w:t>
      </w:r>
    </w:p>
    <w:p w14:paraId="63C7C4BD" w14:textId="77777777" w:rsidR="00A70520" w:rsidRDefault="00AA7A2F" w:rsidP="00F37C12">
      <w:pPr>
        <w:pStyle w:val="Akapitzlist"/>
        <w:numPr>
          <w:ilvl w:val="0"/>
          <w:numId w:val="5"/>
        </w:numPr>
        <w:ind w:left="426"/>
      </w:pPr>
      <w:r>
        <w:t>z zaburzeniami komunikacji językowej</w:t>
      </w:r>
    </w:p>
    <w:p w14:paraId="01D372B6" w14:textId="77777777" w:rsidR="00A70520" w:rsidRDefault="00AA7A2F" w:rsidP="00F37C12">
      <w:pPr>
        <w:pStyle w:val="Akapitzlist"/>
        <w:numPr>
          <w:ilvl w:val="0"/>
          <w:numId w:val="5"/>
        </w:numPr>
        <w:ind w:left="426"/>
      </w:pPr>
      <w:r>
        <w:t>z chorobami przewlekłymi</w:t>
      </w:r>
    </w:p>
    <w:p w14:paraId="27E460BF" w14:textId="77777777" w:rsidR="00A70520" w:rsidRDefault="00AA7A2F" w:rsidP="00F37C12">
      <w:pPr>
        <w:pStyle w:val="Akapitzlist"/>
        <w:numPr>
          <w:ilvl w:val="0"/>
          <w:numId w:val="5"/>
        </w:numPr>
        <w:ind w:left="426"/>
      </w:pPr>
      <w:r>
        <w:t>z sytuacji kryzysowych lub traumatycznych</w:t>
      </w:r>
    </w:p>
    <w:p w14:paraId="7F6054CE" w14:textId="77777777" w:rsidR="00A70520" w:rsidRDefault="00AA7A2F" w:rsidP="00F37C12">
      <w:pPr>
        <w:pStyle w:val="Akapitzlist"/>
        <w:numPr>
          <w:ilvl w:val="0"/>
          <w:numId w:val="5"/>
        </w:numPr>
        <w:ind w:left="426"/>
      </w:pPr>
      <w:r>
        <w:t>z niepowodzeniami edukacyjnymi</w:t>
      </w:r>
    </w:p>
    <w:p w14:paraId="2DA25660" w14:textId="77777777" w:rsidR="00A70520" w:rsidRDefault="00AA7A2F" w:rsidP="00F37C12">
      <w:pPr>
        <w:pStyle w:val="Akapitzlist"/>
        <w:numPr>
          <w:ilvl w:val="0"/>
          <w:numId w:val="5"/>
        </w:numPr>
        <w:ind w:left="426"/>
      </w:pPr>
      <w:r>
        <w:t xml:space="preserve">zaniedbaniami środowiskowymi związanymi z sytuacją bytową ucznia i jego rodziny, sposobem spędzania czasu wolnego i kontaktami środowiskowymi </w:t>
      </w:r>
    </w:p>
    <w:p w14:paraId="47D87E4F" w14:textId="77777777" w:rsidR="00AA7A2F" w:rsidRDefault="00AA7A2F" w:rsidP="00F37C12">
      <w:pPr>
        <w:pStyle w:val="Akapitzlist"/>
        <w:numPr>
          <w:ilvl w:val="0"/>
          <w:numId w:val="5"/>
        </w:numPr>
        <w:ind w:left="426"/>
      </w:pPr>
      <w:r>
        <w:t xml:space="preserve">z trudnościami adaptacyjnymi związanymi z różnicami kulturowymi lub ze zmianą środowiska edukacyjnego, w tym związanych z wcześniejszym kształceniem za granicą </w:t>
      </w:r>
    </w:p>
    <w:p w14:paraId="577289F2" w14:textId="77777777" w:rsidR="00A70520" w:rsidRDefault="00A70520" w:rsidP="00383C30">
      <w:pPr>
        <w:pStyle w:val="Akapitzlist"/>
        <w:ind w:left="0"/>
      </w:pPr>
    </w:p>
    <w:p w14:paraId="6022DC4F" w14:textId="77777777" w:rsidR="00AA7A2F" w:rsidRDefault="00AA7A2F" w:rsidP="00383C30">
      <w:pPr>
        <w:pStyle w:val="Akapitzlist"/>
        <w:ind w:left="0"/>
        <w:jc w:val="both"/>
      </w:pPr>
      <w:r>
        <w:t>Część z tej grupy uczniów posiada orzeczenie do kształcenia specjalnego ( w szkołach specjalnych, szkołach integracyjnych, w szkołach ogólnodostępnych), część posiada opinię, aby zastosować wsparcie w zakresie pomocy psychologiczno- psychologicznej, pozostałej grupie uczniów udziela się pomocy/wsparcie na podstawie obserwacji nauczycieli i specjalistów w szkole.</w:t>
      </w:r>
    </w:p>
    <w:p w14:paraId="346AA2E8" w14:textId="77777777" w:rsidR="00C53C08" w:rsidRDefault="00B47738" w:rsidP="00383C30">
      <w:pPr>
        <w:pStyle w:val="Akapitzlist"/>
        <w:ind w:left="0"/>
        <w:jc w:val="both"/>
      </w:pPr>
      <w:r w:rsidRPr="00B47738">
        <w:t>W związku z powyższym uprzejmie proszę o doprecyzowanie, czy w ramach projektu grupa osób o</w:t>
      </w:r>
      <w:r w:rsidR="00383C30">
        <w:t> </w:t>
      </w:r>
      <w:r w:rsidRPr="00B47738">
        <w:t>specjalnych potrzebach edukacyjnych powinna być rozumiana zgodnie z szeroką definicją zawartą w</w:t>
      </w:r>
      <w:r w:rsidR="00383C30">
        <w:t> </w:t>
      </w:r>
      <w:r w:rsidRPr="00B47738">
        <w:t>przywołanym rozporządzeniu, czy też w sposób węższy.</w:t>
      </w:r>
      <w:r>
        <w:t xml:space="preserve"> </w:t>
      </w:r>
      <w:r w:rsidRPr="00B47738">
        <w:t>Jeśli obowiązuje zawężona interpretacja, proszę o wskazanie, których konkretnie grup uczniów dotyczy projekt oraz jakie dokumenty lub inne dowody należy przedstawić, aby potwierdzić, że dana osoba spełnia kryterium osoby ze specjalnymi potrzebami edukacyjnymi.</w:t>
      </w:r>
    </w:p>
    <w:p w14:paraId="79F880CF" w14:textId="77777777" w:rsidR="00C53C08" w:rsidRPr="002141C8" w:rsidRDefault="00C53C08" w:rsidP="00383C30">
      <w:pPr>
        <w:pStyle w:val="Akapitzlist"/>
        <w:ind w:left="0"/>
        <w:jc w:val="both"/>
        <w:rPr>
          <w:u w:val="single"/>
        </w:rPr>
      </w:pPr>
      <w:r w:rsidRPr="002141C8">
        <w:rPr>
          <w:b/>
          <w:u w:val="single"/>
        </w:rPr>
        <w:t>Odpowiedz:</w:t>
      </w:r>
    </w:p>
    <w:p w14:paraId="4D727FEE" w14:textId="77777777" w:rsidR="00EF2F58" w:rsidRPr="00DC7A99" w:rsidRDefault="00EF2F58" w:rsidP="00383C30">
      <w:pPr>
        <w:pStyle w:val="Akapitzlist"/>
        <w:ind w:left="0"/>
        <w:jc w:val="both"/>
        <w:rPr>
          <w:color w:val="0070C0"/>
        </w:rPr>
      </w:pPr>
      <w:r w:rsidRPr="00DC7A99">
        <w:rPr>
          <w:color w:val="0070C0"/>
        </w:rPr>
        <w:t xml:space="preserve">Definicja osób o </w:t>
      </w:r>
      <w:r w:rsidRPr="00DC7A99">
        <w:rPr>
          <w:bCs/>
          <w:color w:val="0070C0"/>
        </w:rPr>
        <w:t>specjalnych potrzebach edukacyjnych (SPE)</w:t>
      </w:r>
      <w:r w:rsidRPr="00DC7A99">
        <w:rPr>
          <w:color w:val="0070C0"/>
        </w:rPr>
        <w:t xml:space="preserve"> została określona w dokumencie </w:t>
      </w:r>
      <w:r w:rsidRPr="00DC7A99">
        <w:rPr>
          <w:bCs/>
          <w:color w:val="0070C0"/>
        </w:rPr>
        <w:t>„Słownik pojęć”</w:t>
      </w:r>
      <w:r w:rsidRPr="00DC7A99">
        <w:rPr>
          <w:color w:val="0070C0"/>
        </w:rPr>
        <w:t xml:space="preserve">, dostępnym na stronie: </w:t>
      </w:r>
      <w:hyperlink r:id="rId7" w:tgtFrame="_new" w:history="1">
        <w:r w:rsidRPr="00DC7A99">
          <w:rPr>
            <w:rStyle w:val="Hipercze"/>
            <w:color w:val="0070C0"/>
          </w:rPr>
          <w:t>www.funduszeeuropejskie.warmia.mazury.pl</w:t>
        </w:r>
      </w:hyperlink>
      <w:r w:rsidRPr="00DC7A99">
        <w:rPr>
          <w:color w:val="0070C0"/>
        </w:rPr>
        <w:t>.</w:t>
      </w:r>
    </w:p>
    <w:p w14:paraId="3CA2BBAE" w14:textId="77777777" w:rsidR="00EF2F58" w:rsidRPr="00DC7A99" w:rsidRDefault="00EF2F58" w:rsidP="00383C30">
      <w:pPr>
        <w:pStyle w:val="Akapitzlist"/>
        <w:ind w:left="0"/>
        <w:jc w:val="both"/>
        <w:rPr>
          <w:color w:val="0070C0"/>
        </w:rPr>
      </w:pPr>
      <w:r w:rsidRPr="00DC7A99">
        <w:rPr>
          <w:color w:val="0070C0"/>
        </w:rPr>
        <w:t xml:space="preserve">W ramach ogłoszonych naborów, </w:t>
      </w:r>
      <w:r w:rsidRPr="00DC7A99">
        <w:rPr>
          <w:bCs/>
          <w:color w:val="0070C0"/>
        </w:rPr>
        <w:t>wykluczone z możliwości ubiegania się o dofinansowanie (zarówno jako Wnioskodawca, jak i Partner)</w:t>
      </w:r>
      <w:r w:rsidRPr="00DC7A99">
        <w:rPr>
          <w:color w:val="0070C0"/>
        </w:rPr>
        <w:t xml:space="preserve"> są podmioty z obszaru:</w:t>
      </w:r>
    </w:p>
    <w:p w14:paraId="4A06E378" w14:textId="77777777" w:rsidR="002141C8" w:rsidRPr="00DC7A99" w:rsidRDefault="00EF2F58" w:rsidP="00383C30">
      <w:pPr>
        <w:pStyle w:val="Akapitzlist"/>
        <w:numPr>
          <w:ilvl w:val="0"/>
          <w:numId w:val="11"/>
        </w:numPr>
        <w:ind w:left="426"/>
        <w:jc w:val="both"/>
        <w:rPr>
          <w:color w:val="0070C0"/>
        </w:rPr>
      </w:pPr>
      <w:r w:rsidRPr="00DC7A99">
        <w:rPr>
          <w:bCs/>
          <w:color w:val="0070C0"/>
        </w:rPr>
        <w:t>ZIT MOF Ełk</w:t>
      </w:r>
      <w:r w:rsidRPr="00DC7A99">
        <w:rPr>
          <w:color w:val="0070C0"/>
        </w:rPr>
        <w:t xml:space="preserve"> – tj. Gmina Miejska Ełk, Gmina Wiejska Ełk, Powiat Ełcki oraz ich jednostki organizacyjne;</w:t>
      </w:r>
    </w:p>
    <w:p w14:paraId="05514398" w14:textId="77777777" w:rsidR="00EF2F58" w:rsidRPr="00DC7A99" w:rsidRDefault="00EF2F58" w:rsidP="00383C30">
      <w:pPr>
        <w:pStyle w:val="Akapitzlist"/>
        <w:numPr>
          <w:ilvl w:val="0"/>
          <w:numId w:val="11"/>
        </w:numPr>
        <w:ind w:left="426"/>
        <w:jc w:val="both"/>
        <w:rPr>
          <w:color w:val="0070C0"/>
        </w:rPr>
      </w:pPr>
      <w:r w:rsidRPr="00DC7A99">
        <w:rPr>
          <w:bCs/>
          <w:color w:val="0070C0"/>
        </w:rPr>
        <w:t>ZIT MOF Elbląg</w:t>
      </w:r>
      <w:r w:rsidRPr="00DC7A99">
        <w:rPr>
          <w:color w:val="0070C0"/>
        </w:rPr>
        <w:t xml:space="preserve"> – tj. Gmina Miejska Elbląg, gminy miejsko-wiejskie: Młynary, Pasłęk, gminy wiejskie: Gronowo Elbląskie, Milejewo, Powiat Elbląski oraz ich jednostki organizacyjne.</w:t>
      </w:r>
    </w:p>
    <w:p w14:paraId="199ADF42" w14:textId="77777777" w:rsidR="002141C8" w:rsidRPr="00DC7A99" w:rsidRDefault="002141C8" w:rsidP="00383C30">
      <w:pPr>
        <w:pStyle w:val="Akapitzlist"/>
        <w:ind w:left="0"/>
        <w:jc w:val="both"/>
        <w:rPr>
          <w:color w:val="0070C0"/>
        </w:rPr>
      </w:pPr>
    </w:p>
    <w:p w14:paraId="6573B3ED" w14:textId="77777777" w:rsidR="00EF2F58" w:rsidRPr="00DC7A99" w:rsidRDefault="00EF2F58" w:rsidP="00383C30">
      <w:pPr>
        <w:pStyle w:val="Akapitzlist"/>
        <w:ind w:left="0"/>
        <w:jc w:val="both"/>
        <w:rPr>
          <w:color w:val="0070C0"/>
        </w:rPr>
      </w:pPr>
      <w:r w:rsidRPr="00DC7A99">
        <w:rPr>
          <w:color w:val="0070C0"/>
        </w:rPr>
        <w:t>Nie przewiduje się również możliwości wsparcia:</w:t>
      </w:r>
    </w:p>
    <w:p w14:paraId="22CA79D8" w14:textId="77777777" w:rsidR="002141C8" w:rsidRPr="00DC7A99" w:rsidRDefault="00EF2F58" w:rsidP="00383C30">
      <w:pPr>
        <w:pStyle w:val="Akapitzlist"/>
        <w:numPr>
          <w:ilvl w:val="0"/>
          <w:numId w:val="10"/>
        </w:numPr>
        <w:ind w:left="426"/>
        <w:jc w:val="both"/>
        <w:rPr>
          <w:color w:val="0070C0"/>
        </w:rPr>
      </w:pPr>
      <w:r w:rsidRPr="00DC7A99">
        <w:rPr>
          <w:bCs/>
          <w:color w:val="0070C0"/>
        </w:rPr>
        <w:t>szkół specjalnych</w:t>
      </w:r>
      <w:r w:rsidRPr="00DC7A99">
        <w:rPr>
          <w:color w:val="0070C0"/>
        </w:rPr>
        <w:t>,</w:t>
      </w:r>
    </w:p>
    <w:p w14:paraId="4CB118C7" w14:textId="77777777" w:rsidR="00EF2F58" w:rsidRPr="00DC7A99" w:rsidRDefault="00EF2F58" w:rsidP="00383C30">
      <w:pPr>
        <w:pStyle w:val="Akapitzlist"/>
        <w:numPr>
          <w:ilvl w:val="0"/>
          <w:numId w:val="10"/>
        </w:numPr>
        <w:ind w:left="426"/>
        <w:jc w:val="both"/>
        <w:rPr>
          <w:color w:val="0070C0"/>
        </w:rPr>
      </w:pPr>
      <w:r w:rsidRPr="00DC7A99">
        <w:rPr>
          <w:bCs/>
          <w:color w:val="0070C0"/>
        </w:rPr>
        <w:t>placówek prowadzących do segregacji</w:t>
      </w:r>
      <w:r w:rsidRPr="00DC7A99">
        <w:rPr>
          <w:color w:val="0070C0"/>
        </w:rPr>
        <w:t xml:space="preserve"> jakiejkolwiek grupy </w:t>
      </w:r>
      <w:proofErr w:type="spellStart"/>
      <w:r w:rsidRPr="00DC7A99">
        <w:rPr>
          <w:color w:val="0070C0"/>
        </w:rPr>
        <w:t>defaworyzowanej</w:t>
      </w:r>
      <w:proofErr w:type="spellEnd"/>
      <w:r w:rsidRPr="00DC7A99">
        <w:rPr>
          <w:color w:val="0070C0"/>
        </w:rPr>
        <w:t xml:space="preserve"> i/lub zagrożonej wykluczeniem społecznym.</w:t>
      </w:r>
    </w:p>
    <w:p w14:paraId="411064CE" w14:textId="77777777" w:rsidR="002141C8" w:rsidRPr="00DC7A99" w:rsidRDefault="002141C8" w:rsidP="00383C30">
      <w:pPr>
        <w:pStyle w:val="Akapitzlist"/>
        <w:ind w:left="0"/>
        <w:jc w:val="both"/>
        <w:rPr>
          <w:bCs/>
          <w:color w:val="0070C0"/>
        </w:rPr>
      </w:pPr>
    </w:p>
    <w:p w14:paraId="2CF81CDC" w14:textId="77777777" w:rsidR="00EF2F58" w:rsidRPr="00DC7A99" w:rsidRDefault="00EF2F58" w:rsidP="00383C30">
      <w:pPr>
        <w:pStyle w:val="Akapitzlist"/>
        <w:ind w:left="0"/>
        <w:jc w:val="both"/>
        <w:rPr>
          <w:color w:val="0070C0"/>
        </w:rPr>
      </w:pPr>
      <w:r w:rsidRPr="00DC7A99">
        <w:rPr>
          <w:bCs/>
          <w:color w:val="0070C0"/>
        </w:rPr>
        <w:t>Celem naborów</w:t>
      </w:r>
      <w:r w:rsidRPr="00DC7A99">
        <w:rPr>
          <w:color w:val="0070C0"/>
        </w:rPr>
        <w:t xml:space="preserve"> jest zwiększenie dostępności infrastruktury i wyposażenia </w:t>
      </w:r>
      <w:r w:rsidRPr="00DC7A99">
        <w:rPr>
          <w:bCs/>
          <w:color w:val="0070C0"/>
        </w:rPr>
        <w:t>dla osób ze specjalnymi potrzebami edukacyjnymi (SPE)</w:t>
      </w:r>
      <w:r w:rsidRPr="00DC7A99">
        <w:rPr>
          <w:color w:val="0070C0"/>
        </w:rPr>
        <w:t>.</w:t>
      </w:r>
    </w:p>
    <w:p w14:paraId="4577FE96" w14:textId="77777777" w:rsidR="00EF2F58" w:rsidRPr="00DC7A99" w:rsidRDefault="00EF2F58" w:rsidP="00383C30">
      <w:pPr>
        <w:pStyle w:val="Akapitzlist"/>
        <w:ind w:left="0"/>
        <w:jc w:val="both"/>
        <w:rPr>
          <w:color w:val="0070C0"/>
        </w:rPr>
      </w:pPr>
      <w:r w:rsidRPr="00DC7A99">
        <w:rPr>
          <w:color w:val="0070C0"/>
        </w:rPr>
        <w:t xml:space="preserve">W dokumencie </w:t>
      </w:r>
      <w:r w:rsidRPr="00DC7A99">
        <w:rPr>
          <w:bCs/>
          <w:color w:val="0070C0"/>
        </w:rPr>
        <w:t>„Diagnoza i analiza potrzeb osób ze SPE”</w:t>
      </w:r>
      <w:r w:rsidRPr="00DC7A99">
        <w:rPr>
          <w:color w:val="0070C0"/>
        </w:rPr>
        <w:t xml:space="preserve"> należy:</w:t>
      </w:r>
    </w:p>
    <w:p w14:paraId="276E9217" w14:textId="77777777" w:rsidR="002141C8" w:rsidRPr="00DC7A99" w:rsidRDefault="00EF2F58" w:rsidP="00383C30">
      <w:pPr>
        <w:pStyle w:val="Akapitzlist"/>
        <w:numPr>
          <w:ilvl w:val="0"/>
          <w:numId w:val="9"/>
        </w:numPr>
        <w:ind w:left="426"/>
        <w:jc w:val="both"/>
        <w:rPr>
          <w:color w:val="0070C0"/>
        </w:rPr>
      </w:pPr>
      <w:r w:rsidRPr="00DC7A99">
        <w:rPr>
          <w:color w:val="0070C0"/>
        </w:rPr>
        <w:lastRenderedPageBreak/>
        <w:t>wskazać sposób udokumentowania potrzeby wsparcia dla tej grupy,</w:t>
      </w:r>
    </w:p>
    <w:p w14:paraId="57E74EC7" w14:textId="77777777" w:rsidR="002141C8" w:rsidRPr="00DC7A99" w:rsidRDefault="00EF2F58" w:rsidP="00383C30">
      <w:pPr>
        <w:pStyle w:val="Akapitzlist"/>
        <w:numPr>
          <w:ilvl w:val="0"/>
          <w:numId w:val="9"/>
        </w:numPr>
        <w:ind w:left="426"/>
        <w:jc w:val="both"/>
        <w:rPr>
          <w:color w:val="0070C0"/>
        </w:rPr>
      </w:pPr>
      <w:r w:rsidRPr="00DC7A99">
        <w:rPr>
          <w:color w:val="0070C0"/>
        </w:rPr>
        <w:t>określić liczbę uczniów SPE, którzy będą beneficjentami planowanego wsparcia,</w:t>
      </w:r>
    </w:p>
    <w:p w14:paraId="5FC5FAA3" w14:textId="77777777" w:rsidR="00EF2F58" w:rsidRPr="00DC7A99" w:rsidRDefault="00EF2F58" w:rsidP="00383C30">
      <w:pPr>
        <w:pStyle w:val="Akapitzlist"/>
        <w:numPr>
          <w:ilvl w:val="0"/>
          <w:numId w:val="9"/>
        </w:numPr>
        <w:ind w:left="426"/>
        <w:jc w:val="both"/>
        <w:rPr>
          <w:color w:val="0070C0"/>
        </w:rPr>
      </w:pPr>
      <w:r w:rsidRPr="00DC7A99">
        <w:rPr>
          <w:color w:val="0070C0"/>
        </w:rPr>
        <w:t>uzasadnić zakres planowanych działań.</w:t>
      </w:r>
    </w:p>
    <w:p w14:paraId="492D30F5" w14:textId="77777777" w:rsidR="00EF2F58" w:rsidRPr="00DC7A99" w:rsidRDefault="00EF2F58" w:rsidP="00383C30">
      <w:pPr>
        <w:pStyle w:val="Akapitzlist"/>
        <w:ind w:left="0"/>
        <w:jc w:val="both"/>
        <w:rPr>
          <w:color w:val="0070C0"/>
        </w:rPr>
      </w:pPr>
      <w:r w:rsidRPr="00DC7A99">
        <w:rPr>
          <w:bCs/>
          <w:color w:val="0070C0"/>
          <w:u w:val="single"/>
        </w:rPr>
        <w:t>Uwaga:</w:t>
      </w:r>
      <w:r w:rsidRPr="00DC7A99">
        <w:rPr>
          <w:color w:val="0070C0"/>
        </w:rPr>
        <w:t xml:space="preserve"> Jeżeli budynek szkoły objętej wsparciem </w:t>
      </w:r>
      <w:r w:rsidRPr="00DC7A99">
        <w:rPr>
          <w:bCs/>
          <w:color w:val="0070C0"/>
        </w:rPr>
        <w:t>nie zapewnia pełnej dostępności</w:t>
      </w:r>
      <w:r w:rsidRPr="00DC7A99">
        <w:rPr>
          <w:color w:val="0070C0"/>
        </w:rPr>
        <w:t xml:space="preserve"> (rozumianej jako dostępność do wszystkich kondygnacji, pomieszczeń i stref, w których odbywają się zajęcia), a projekt </w:t>
      </w:r>
      <w:r w:rsidR="002141C8" w:rsidRPr="00DC7A99">
        <w:rPr>
          <w:color w:val="0070C0"/>
        </w:rPr>
        <w:t>nie przewiduje jej zapewnienia,</w:t>
      </w:r>
      <w:r w:rsidRPr="00DC7A99">
        <w:rPr>
          <w:color w:val="0070C0"/>
        </w:rPr>
        <w:t xml:space="preserve"> </w:t>
      </w:r>
      <w:r w:rsidRPr="00DC7A99">
        <w:rPr>
          <w:bCs/>
          <w:color w:val="0070C0"/>
        </w:rPr>
        <w:t>nie będzie możliwości uzyskania dofinansowania</w:t>
      </w:r>
      <w:r w:rsidRPr="00DC7A99">
        <w:rPr>
          <w:color w:val="0070C0"/>
        </w:rPr>
        <w:t xml:space="preserve"> dla takiego przedsięwzięcia.</w:t>
      </w:r>
    </w:p>
    <w:p w14:paraId="65BBF680" w14:textId="77777777" w:rsidR="002141C8" w:rsidRPr="00EF2F58" w:rsidRDefault="002141C8" w:rsidP="00383C30">
      <w:pPr>
        <w:pStyle w:val="Akapitzlist"/>
        <w:ind w:left="0"/>
        <w:jc w:val="both"/>
      </w:pPr>
    </w:p>
    <w:p w14:paraId="76EC81FC" w14:textId="77777777" w:rsidR="002141C8" w:rsidRDefault="00EF2F58" w:rsidP="00383C30">
      <w:pPr>
        <w:pStyle w:val="Akapitzlist"/>
        <w:ind w:left="0"/>
      </w:pPr>
      <w:r w:rsidRPr="00EF2F58">
        <w:t>Szczegółowe informacje dotyczące zasad naboru znajdują się w dokumentacji ko</w:t>
      </w:r>
      <w:r w:rsidR="002141C8">
        <w:t>nkursowej dostępnej na stronie:</w:t>
      </w:r>
    </w:p>
    <w:p w14:paraId="6A43998E" w14:textId="77777777" w:rsidR="00EF2F58" w:rsidRPr="00EF2F58" w:rsidRDefault="00EF2F58" w:rsidP="00383C30">
      <w:pPr>
        <w:pStyle w:val="Akapitzlist"/>
        <w:ind w:left="0"/>
      </w:pPr>
      <w:r w:rsidRPr="00EF2F58">
        <w:t xml:space="preserve"> </w:t>
      </w:r>
      <w:hyperlink r:id="rId8" w:history="1">
        <w:r w:rsidR="002141C8" w:rsidRPr="004C3E7D">
          <w:rPr>
            <w:rStyle w:val="Hipercze"/>
          </w:rPr>
          <w:t>https://funduszeeuropejskie.warmia.mazury.pl/nabory</w:t>
        </w:r>
      </w:hyperlink>
      <w:r w:rsidR="002141C8">
        <w:t xml:space="preserve"> </w:t>
      </w:r>
    </w:p>
    <w:p w14:paraId="3E66C3EA" w14:textId="77777777" w:rsidR="002141C8" w:rsidRDefault="002141C8" w:rsidP="00383C30">
      <w:pPr>
        <w:pStyle w:val="Akapitzlist"/>
        <w:ind w:left="0"/>
        <w:jc w:val="both"/>
        <w:rPr>
          <w:bCs/>
        </w:rPr>
      </w:pPr>
    </w:p>
    <w:p w14:paraId="1633583B" w14:textId="0DA5535C" w:rsidR="002141C8" w:rsidRDefault="00A70520" w:rsidP="00383C30">
      <w:pPr>
        <w:pStyle w:val="Akapitzlist"/>
        <w:numPr>
          <w:ilvl w:val="0"/>
          <w:numId w:val="1"/>
        </w:numPr>
        <w:ind w:left="0"/>
        <w:rPr>
          <w:b/>
        </w:rPr>
      </w:pPr>
      <w:r w:rsidRPr="00A70520">
        <w:rPr>
          <w:b/>
        </w:rPr>
        <w:t xml:space="preserve">Pytanie </w:t>
      </w:r>
    </w:p>
    <w:p w14:paraId="4ACC871B" w14:textId="77777777" w:rsidR="00E602D6" w:rsidRDefault="00E602D6" w:rsidP="00383C30">
      <w:pPr>
        <w:pStyle w:val="Akapitzlist"/>
        <w:ind w:left="0"/>
        <w:jc w:val="both"/>
        <w:rPr>
          <w:bCs/>
        </w:rPr>
      </w:pPr>
      <w:r w:rsidRPr="00E602D6">
        <w:rPr>
          <w:bCs/>
        </w:rPr>
        <w:t>Czy budowa podjazdu dla osób z niepełnosprawnościami, prowadzącego do wejścia do budynku, kwalifikuje się jako „chodnik” w rozumieniu katalogu wydatków niekwalifikowanych (zagospodarowanie terenu: drogi, chodniki, parkingi, itp.)?</w:t>
      </w:r>
    </w:p>
    <w:p w14:paraId="2367EF14" w14:textId="77777777" w:rsidR="00C53C08" w:rsidRPr="00E602D6" w:rsidRDefault="00C53C08" w:rsidP="00383C30">
      <w:pPr>
        <w:pStyle w:val="Akapitzlist"/>
        <w:ind w:left="0"/>
        <w:jc w:val="both"/>
        <w:rPr>
          <w:bCs/>
        </w:rPr>
      </w:pPr>
      <w:r w:rsidRPr="00E602D6">
        <w:rPr>
          <w:b/>
          <w:u w:val="single"/>
        </w:rPr>
        <w:t>Odpowiedz:</w:t>
      </w:r>
    </w:p>
    <w:p w14:paraId="654B84B1" w14:textId="77777777" w:rsidR="00E602D6" w:rsidRPr="00DC7A99" w:rsidRDefault="00E602D6" w:rsidP="00383C30">
      <w:pPr>
        <w:pStyle w:val="Akapitzlist"/>
        <w:ind w:left="0"/>
        <w:jc w:val="both"/>
        <w:rPr>
          <w:bCs/>
          <w:color w:val="0070C0"/>
        </w:rPr>
      </w:pPr>
      <w:r w:rsidRPr="00DC7A99">
        <w:rPr>
          <w:bCs/>
          <w:color w:val="0070C0"/>
        </w:rPr>
        <w:t>Budowa podjazdu dla osób z niepełnosprawnościami nie kwalifikuje się jako „chodnik” w rozumieniu wydatków niekwalifikowanych.</w:t>
      </w:r>
    </w:p>
    <w:p w14:paraId="1D2E5D82" w14:textId="77777777" w:rsidR="00E602D6" w:rsidRPr="00DC7A99" w:rsidRDefault="00E602D6" w:rsidP="00383C30">
      <w:pPr>
        <w:pStyle w:val="Akapitzlist"/>
        <w:ind w:left="0"/>
        <w:jc w:val="both"/>
        <w:rPr>
          <w:bCs/>
          <w:color w:val="0070C0"/>
        </w:rPr>
      </w:pPr>
      <w:r w:rsidRPr="00DC7A99">
        <w:rPr>
          <w:bCs/>
          <w:color w:val="0070C0"/>
          <w:u w:val="single"/>
        </w:rPr>
        <w:t xml:space="preserve">Uzasadnienie:  </w:t>
      </w:r>
      <w:r w:rsidRPr="00DC7A99">
        <w:rPr>
          <w:bCs/>
          <w:color w:val="0070C0"/>
        </w:rPr>
        <w:t xml:space="preserve">Podjazd to element infrastruktury </w:t>
      </w:r>
      <w:proofErr w:type="spellStart"/>
      <w:r w:rsidRPr="00DC7A99">
        <w:rPr>
          <w:bCs/>
          <w:color w:val="0070C0"/>
        </w:rPr>
        <w:t>dostępnościowej</w:t>
      </w:r>
      <w:proofErr w:type="spellEnd"/>
      <w:r w:rsidRPr="00DC7A99">
        <w:rPr>
          <w:bCs/>
          <w:color w:val="0070C0"/>
        </w:rPr>
        <w:t>, nie ogólny chodnik.</w:t>
      </w:r>
    </w:p>
    <w:p w14:paraId="16C60A96" w14:textId="77777777" w:rsidR="00E602D6" w:rsidRPr="00DC7A99" w:rsidRDefault="00E602D6" w:rsidP="00383C30">
      <w:pPr>
        <w:pStyle w:val="Akapitzlist"/>
        <w:ind w:left="0"/>
        <w:jc w:val="both"/>
        <w:rPr>
          <w:color w:val="0070C0"/>
        </w:rPr>
      </w:pPr>
      <w:r w:rsidRPr="00DC7A99">
        <w:rPr>
          <w:color w:val="0070C0"/>
        </w:rPr>
        <w:t>Zgodnie z definicjami zawartymi w:</w:t>
      </w:r>
    </w:p>
    <w:p w14:paraId="4690E579" w14:textId="77777777" w:rsidR="00E602D6" w:rsidRPr="00DC7A99" w:rsidRDefault="00E602D6" w:rsidP="00383C30">
      <w:pPr>
        <w:pStyle w:val="Akapitzlist"/>
        <w:numPr>
          <w:ilvl w:val="0"/>
          <w:numId w:val="14"/>
        </w:numPr>
        <w:ind w:left="426" w:hanging="284"/>
        <w:jc w:val="both"/>
        <w:rPr>
          <w:color w:val="0070C0"/>
        </w:rPr>
      </w:pPr>
      <w:r w:rsidRPr="00DC7A99">
        <w:rPr>
          <w:bCs/>
          <w:color w:val="0070C0"/>
        </w:rPr>
        <w:t>Załączniku nr 7.1 (Zasady kwalifikowalności), § 1 ust. 2</w:t>
      </w:r>
      <w:r w:rsidRPr="00DC7A99">
        <w:rPr>
          <w:color w:val="0070C0"/>
        </w:rPr>
        <w:t xml:space="preserve"> – wydatki są kwalifikowalne, jeżeli służą </w:t>
      </w:r>
      <w:r w:rsidRPr="00DC7A99">
        <w:rPr>
          <w:bCs/>
          <w:color w:val="0070C0"/>
        </w:rPr>
        <w:t>likwidacji barier architektonicznych</w:t>
      </w:r>
      <w:r w:rsidRPr="00DC7A99">
        <w:rPr>
          <w:color w:val="0070C0"/>
        </w:rPr>
        <w:t xml:space="preserve"> i </w:t>
      </w:r>
      <w:r w:rsidRPr="00DC7A99">
        <w:rPr>
          <w:bCs/>
          <w:color w:val="0070C0"/>
        </w:rPr>
        <w:t>zapewnieniu dostępności fizycznej</w:t>
      </w:r>
      <w:r w:rsidRPr="00DC7A99">
        <w:rPr>
          <w:color w:val="0070C0"/>
        </w:rPr>
        <w:t xml:space="preserve"> osobom z niepełnosprawnościami,</w:t>
      </w:r>
    </w:p>
    <w:p w14:paraId="3FC029A6" w14:textId="77777777" w:rsidR="00E602D6" w:rsidRPr="00DC7A99" w:rsidRDefault="00E602D6" w:rsidP="00383C30">
      <w:pPr>
        <w:pStyle w:val="Akapitzlist"/>
        <w:numPr>
          <w:ilvl w:val="0"/>
          <w:numId w:val="14"/>
        </w:numPr>
        <w:ind w:left="426" w:hanging="284"/>
        <w:jc w:val="both"/>
        <w:rPr>
          <w:color w:val="0070C0"/>
        </w:rPr>
      </w:pPr>
      <w:r w:rsidRPr="00DC7A99">
        <w:rPr>
          <w:bCs/>
          <w:color w:val="0070C0"/>
        </w:rPr>
        <w:t>Standardach dostępności (Zał. 2, pkt 1.1, 1.3, 1.4)</w:t>
      </w:r>
      <w:r w:rsidRPr="00DC7A99">
        <w:rPr>
          <w:color w:val="0070C0"/>
        </w:rPr>
        <w:t xml:space="preserve"> – wprost wskazano, że </w:t>
      </w:r>
      <w:r w:rsidRPr="00DC7A99">
        <w:rPr>
          <w:bCs/>
          <w:color w:val="0070C0"/>
        </w:rPr>
        <w:t>pochylnie, podjazdy, platformy i inne środki ułatwiające dostęp do budynków są działaniami spełniającymi wymogi dostępności</w:t>
      </w:r>
      <w:r w:rsidRPr="00DC7A99">
        <w:rPr>
          <w:color w:val="0070C0"/>
        </w:rPr>
        <w:t>.</w:t>
      </w:r>
    </w:p>
    <w:p w14:paraId="4A0AA536" w14:textId="77777777" w:rsidR="00E602D6" w:rsidRPr="00DC7A99" w:rsidRDefault="00E602D6" w:rsidP="00383C30">
      <w:pPr>
        <w:pStyle w:val="Akapitzlist"/>
        <w:ind w:left="0"/>
        <w:jc w:val="both"/>
        <w:rPr>
          <w:bCs/>
          <w:color w:val="0070C0"/>
        </w:rPr>
      </w:pPr>
      <w:r w:rsidRPr="00DC7A99">
        <w:rPr>
          <w:bCs/>
          <w:color w:val="0070C0"/>
        </w:rPr>
        <w:t xml:space="preserve">Zatem podjazd nie stanowi elementu zagospodarowania terenu o charakterze </w:t>
      </w:r>
      <w:proofErr w:type="spellStart"/>
      <w:r w:rsidRPr="00DC7A99">
        <w:rPr>
          <w:bCs/>
          <w:color w:val="0070C0"/>
        </w:rPr>
        <w:t>ogólnokomunikacyjnym</w:t>
      </w:r>
      <w:proofErr w:type="spellEnd"/>
      <w:r w:rsidRPr="00DC7A99">
        <w:rPr>
          <w:bCs/>
          <w:color w:val="0070C0"/>
        </w:rPr>
        <w:t xml:space="preserve"> (takiego jak chodnik, droga czy ścieżka piesza), lecz pełni funkcję infrastruktury dostosowującej wejście do budynku dla osób ze szczególnymi potrzebami. Jest to rozwiązanie funkcjonalne o charakterze specjalistycznym, a nie standardowym.</w:t>
      </w:r>
    </w:p>
    <w:p w14:paraId="1570F5A4" w14:textId="6A8DFB07" w:rsidR="00E602D6" w:rsidRPr="00DC7A99" w:rsidRDefault="00E602D6" w:rsidP="003F6C49">
      <w:pPr>
        <w:pStyle w:val="Akapitzlist"/>
        <w:ind w:left="0"/>
        <w:jc w:val="both"/>
        <w:rPr>
          <w:color w:val="0070C0"/>
        </w:rPr>
      </w:pPr>
      <w:r w:rsidRPr="00DC7A99">
        <w:rPr>
          <w:bCs/>
          <w:color w:val="0070C0"/>
        </w:rPr>
        <w:t>Zatem budowa podjazdu (pochylni) dla osób z niepełnosprawnościami prowadzącego do wejścia do</w:t>
      </w:r>
      <w:r w:rsidR="003F6C49">
        <w:rPr>
          <w:bCs/>
          <w:color w:val="0070C0"/>
        </w:rPr>
        <w:t> </w:t>
      </w:r>
      <w:r w:rsidRPr="00DC7A99">
        <w:rPr>
          <w:bCs/>
          <w:color w:val="0070C0"/>
        </w:rPr>
        <w:t>budynku nie jest równoznaczna z budową zwykłego chodnika</w:t>
      </w:r>
      <w:r w:rsidRPr="00DC7A99">
        <w:rPr>
          <w:color w:val="0070C0"/>
        </w:rPr>
        <w:t xml:space="preserve"> i </w:t>
      </w:r>
      <w:r w:rsidRPr="00DC7A99">
        <w:rPr>
          <w:bCs/>
          <w:color w:val="0070C0"/>
        </w:rPr>
        <w:t>może być uznana za wydatek kwalifikowalny</w:t>
      </w:r>
      <w:r w:rsidRPr="00DC7A99">
        <w:rPr>
          <w:color w:val="0070C0"/>
        </w:rPr>
        <w:t xml:space="preserve">, </w:t>
      </w:r>
      <w:r w:rsidRPr="00DC7A99">
        <w:rPr>
          <w:bCs/>
          <w:color w:val="0070C0"/>
        </w:rPr>
        <w:t>o ile</w:t>
      </w:r>
      <w:r w:rsidRPr="00DC7A99">
        <w:rPr>
          <w:color w:val="0070C0"/>
        </w:rPr>
        <w:t>:</w:t>
      </w:r>
    </w:p>
    <w:p w14:paraId="298C5312" w14:textId="77777777" w:rsidR="00E602D6" w:rsidRPr="00DC7A99" w:rsidRDefault="00E602D6" w:rsidP="00383C30">
      <w:pPr>
        <w:pStyle w:val="Akapitzlist"/>
        <w:numPr>
          <w:ilvl w:val="0"/>
          <w:numId w:val="15"/>
        </w:numPr>
        <w:ind w:left="426" w:hanging="284"/>
        <w:rPr>
          <w:color w:val="0070C0"/>
        </w:rPr>
      </w:pPr>
      <w:r w:rsidRPr="00DC7A99">
        <w:rPr>
          <w:color w:val="0070C0"/>
        </w:rPr>
        <w:t>jest elementem projektu poprawy dostępności dla osób ze szczególnymi potrzebami,</w:t>
      </w:r>
    </w:p>
    <w:p w14:paraId="075B9FC0" w14:textId="77777777" w:rsidR="00E602D6" w:rsidRPr="00DC7A99" w:rsidRDefault="00E602D6" w:rsidP="00383C30">
      <w:pPr>
        <w:pStyle w:val="Akapitzlist"/>
        <w:numPr>
          <w:ilvl w:val="0"/>
          <w:numId w:val="15"/>
        </w:numPr>
        <w:ind w:left="426" w:hanging="284"/>
        <w:rPr>
          <w:color w:val="0070C0"/>
        </w:rPr>
      </w:pPr>
      <w:r w:rsidRPr="00DC7A99">
        <w:rPr>
          <w:color w:val="0070C0"/>
        </w:rPr>
        <w:t xml:space="preserve">spełnia wymogi zawarte w </w:t>
      </w:r>
      <w:r w:rsidRPr="00DC7A99">
        <w:rPr>
          <w:bCs/>
          <w:color w:val="0070C0"/>
        </w:rPr>
        <w:t>Zał. 2 – Standardach dostępności</w:t>
      </w:r>
      <w:r w:rsidRPr="00DC7A99">
        <w:rPr>
          <w:color w:val="0070C0"/>
        </w:rPr>
        <w:t xml:space="preserve"> (np. nachylenie, poręcze, odpowiednia szerokość – określone w standardzie architektonicznym),</w:t>
      </w:r>
    </w:p>
    <w:p w14:paraId="610C43CB" w14:textId="77777777" w:rsidR="00E602D6" w:rsidRPr="00DC7A99" w:rsidRDefault="00E602D6" w:rsidP="00383C30">
      <w:pPr>
        <w:pStyle w:val="Akapitzlist"/>
        <w:numPr>
          <w:ilvl w:val="0"/>
          <w:numId w:val="15"/>
        </w:numPr>
        <w:ind w:left="426" w:hanging="284"/>
        <w:rPr>
          <w:color w:val="0070C0"/>
        </w:rPr>
      </w:pPr>
      <w:r w:rsidRPr="00DC7A99">
        <w:rPr>
          <w:color w:val="0070C0"/>
        </w:rPr>
        <w:t xml:space="preserve">została ujęta w dokumentacji projektowej jako rozwiązanie </w:t>
      </w:r>
      <w:proofErr w:type="spellStart"/>
      <w:r w:rsidRPr="00DC7A99">
        <w:rPr>
          <w:color w:val="0070C0"/>
        </w:rPr>
        <w:t>dostępnościowe</w:t>
      </w:r>
      <w:proofErr w:type="spellEnd"/>
      <w:r w:rsidRPr="00DC7A99">
        <w:rPr>
          <w:color w:val="0070C0"/>
        </w:rPr>
        <w:t>.</w:t>
      </w:r>
    </w:p>
    <w:p w14:paraId="2E91A1AE" w14:textId="77777777" w:rsidR="00E602D6" w:rsidRPr="00E602D6" w:rsidRDefault="00E602D6" w:rsidP="00E602D6">
      <w:pPr>
        <w:pStyle w:val="Akapitzlist"/>
        <w:ind w:left="426"/>
        <w:jc w:val="both"/>
      </w:pPr>
    </w:p>
    <w:p w14:paraId="23F46F5F" w14:textId="76221663" w:rsidR="002141C8" w:rsidRDefault="002141C8" w:rsidP="00383C30">
      <w:pPr>
        <w:pStyle w:val="Akapitzlist"/>
        <w:numPr>
          <w:ilvl w:val="0"/>
          <w:numId w:val="1"/>
        </w:numPr>
        <w:ind w:left="0"/>
        <w:rPr>
          <w:b/>
        </w:rPr>
      </w:pPr>
      <w:r w:rsidRPr="002141C8">
        <w:rPr>
          <w:b/>
        </w:rPr>
        <w:t xml:space="preserve">Pytanie </w:t>
      </w:r>
    </w:p>
    <w:p w14:paraId="73615D36" w14:textId="77777777" w:rsidR="00FB1957" w:rsidRPr="00FB1957" w:rsidRDefault="00FB1957" w:rsidP="00383C30">
      <w:pPr>
        <w:pStyle w:val="Akapitzlist"/>
        <w:ind w:left="0"/>
        <w:jc w:val="both"/>
      </w:pPr>
      <w:r>
        <w:t>W</w:t>
      </w:r>
      <w:r w:rsidRPr="00FB1957">
        <w:t xml:space="preserve"> związku z planowanym projektem dotyczącym </w:t>
      </w:r>
      <w:r w:rsidRPr="00FB1957">
        <w:rPr>
          <w:bCs/>
        </w:rPr>
        <w:t>dostosowania budynku Zespołu Szkół Zawodowych</w:t>
      </w:r>
      <w:r w:rsidRPr="00FB1957">
        <w:t>, w tym jego wyposażenia w nowoczesny sprzęt wspierający dostępność dla osób ze</w:t>
      </w:r>
      <w:r>
        <w:t> </w:t>
      </w:r>
      <w:r w:rsidRPr="00FB1957">
        <w:t xml:space="preserve">specjalnymi potrzebami edukacyjnymi (SPE), uprzejmie proszę o informację, czy </w:t>
      </w:r>
      <w:r w:rsidRPr="00FB1957">
        <w:rPr>
          <w:bCs/>
        </w:rPr>
        <w:t>remont dachu</w:t>
      </w:r>
      <w:r>
        <w:t xml:space="preserve"> </w:t>
      </w:r>
      <w:r w:rsidRPr="00FB1957">
        <w:t xml:space="preserve"> j</w:t>
      </w:r>
      <w:r>
        <w:t>ako jeden z</w:t>
      </w:r>
      <w:r w:rsidR="007F4488">
        <w:t> </w:t>
      </w:r>
      <w:r>
        <w:t>elementów projektu</w:t>
      </w:r>
      <w:r w:rsidRPr="00FB1957">
        <w:t xml:space="preserve"> może zostać uznany za </w:t>
      </w:r>
      <w:r w:rsidRPr="00FB1957">
        <w:rPr>
          <w:bCs/>
        </w:rPr>
        <w:t>wydatek kwalifikowalny</w:t>
      </w:r>
      <w:r w:rsidRPr="00FB1957">
        <w:t xml:space="preserve"> w ramach planowanego zadania.</w:t>
      </w:r>
    </w:p>
    <w:p w14:paraId="7941C851" w14:textId="77777777" w:rsidR="00FB1957" w:rsidRPr="00FB1957" w:rsidRDefault="00FB1957" w:rsidP="00383C30">
      <w:pPr>
        <w:pStyle w:val="Akapitzlist"/>
        <w:ind w:left="0"/>
        <w:jc w:val="both"/>
      </w:pPr>
      <w:r w:rsidRPr="00FB1957">
        <w:t xml:space="preserve">Zgodnie z posiadanym </w:t>
      </w:r>
      <w:r w:rsidRPr="00FB1957">
        <w:rPr>
          <w:bCs/>
        </w:rPr>
        <w:t>„Raportem z badania dostępności architektonicznej i komunikacyjno-informacyjnej”</w:t>
      </w:r>
      <w:r w:rsidRPr="00FB1957">
        <w:t xml:space="preserve">, opracowanym przez niezależny podmiot zewnętrzny, stwierdzono, że dach obiektu znajduje się w </w:t>
      </w:r>
      <w:r w:rsidRPr="00FB1957">
        <w:rPr>
          <w:bCs/>
        </w:rPr>
        <w:t>złym stanie technicznym (nieszczelny, uszkodzony, zagrażający użytkownikom)</w:t>
      </w:r>
      <w:r w:rsidRPr="00FB1957">
        <w:t>, co</w:t>
      </w:r>
      <w:r w:rsidR="007F4488">
        <w:t> </w:t>
      </w:r>
      <w:r w:rsidRPr="00FB1957">
        <w:t>wpływa negatywnie na bezpieczeństwo i dostępność placówki. W</w:t>
      </w:r>
      <w:r>
        <w:t> </w:t>
      </w:r>
      <w:r w:rsidRPr="00FB1957">
        <w:t>szczególności wskazano, że:</w:t>
      </w:r>
    </w:p>
    <w:p w14:paraId="6BAEB440" w14:textId="77777777" w:rsidR="00FB1957" w:rsidRDefault="00FB1957" w:rsidP="007F4488">
      <w:pPr>
        <w:pStyle w:val="Akapitzlist"/>
        <w:numPr>
          <w:ilvl w:val="0"/>
          <w:numId w:val="22"/>
        </w:numPr>
        <w:ind w:left="426" w:hanging="284"/>
        <w:jc w:val="both"/>
      </w:pPr>
      <w:r w:rsidRPr="00FB1957">
        <w:lastRenderedPageBreak/>
        <w:t xml:space="preserve">dochodzi do </w:t>
      </w:r>
      <w:r w:rsidRPr="00FB1957">
        <w:rPr>
          <w:bCs/>
        </w:rPr>
        <w:t>zalewania wnętrz</w:t>
      </w:r>
      <w:r w:rsidRPr="00FB1957">
        <w:t>, co powoduje ryzyko poślizgnięć i</w:t>
      </w:r>
      <w:r w:rsidR="007F4488">
        <w:t xml:space="preserve"> utrudnienia w poruszaniu się </w:t>
      </w:r>
      <w:r w:rsidRPr="00FB1957">
        <w:t>zwłaszcza dla osób z ograniczoną mobilnością (np. poruszających się na wózkach lub o</w:t>
      </w:r>
      <w:r>
        <w:t> </w:t>
      </w:r>
      <w:r w:rsidRPr="00FB1957">
        <w:t>kulach),</w:t>
      </w:r>
    </w:p>
    <w:p w14:paraId="2845D996" w14:textId="77777777" w:rsidR="00FB1957" w:rsidRDefault="00FB1957" w:rsidP="007F4488">
      <w:pPr>
        <w:pStyle w:val="Akapitzlist"/>
        <w:numPr>
          <w:ilvl w:val="0"/>
          <w:numId w:val="22"/>
        </w:numPr>
        <w:ind w:left="426" w:hanging="284"/>
        <w:jc w:val="both"/>
      </w:pPr>
      <w:r w:rsidRPr="00FB1957">
        <w:t xml:space="preserve">uszkodzenia instalacji elektrycznej mogą </w:t>
      </w:r>
      <w:r w:rsidRPr="00FB1957">
        <w:rPr>
          <w:bCs/>
        </w:rPr>
        <w:t>uniemożliwić działanie systemów informacji głosowej i</w:t>
      </w:r>
      <w:r w:rsidR="007F4488">
        <w:rPr>
          <w:bCs/>
        </w:rPr>
        <w:t> </w:t>
      </w:r>
      <w:r w:rsidRPr="00FB1957">
        <w:rPr>
          <w:bCs/>
        </w:rPr>
        <w:t>oświetlenia awaryjnego</w:t>
      </w:r>
      <w:r w:rsidRPr="00FB1957">
        <w:t>, istotnych z punktu widzenia dostępności dla osób z</w:t>
      </w:r>
      <w:r>
        <w:t> </w:t>
      </w:r>
      <w:r w:rsidRPr="00FB1957">
        <w:t>niepełnosprawnościami,</w:t>
      </w:r>
    </w:p>
    <w:p w14:paraId="1AB91D58" w14:textId="77777777" w:rsidR="00FB1957" w:rsidRPr="00FB1957" w:rsidRDefault="00FB1957" w:rsidP="007F4488">
      <w:pPr>
        <w:pStyle w:val="Akapitzlist"/>
        <w:numPr>
          <w:ilvl w:val="0"/>
          <w:numId w:val="22"/>
        </w:numPr>
        <w:ind w:left="426" w:hanging="284"/>
        <w:jc w:val="both"/>
      </w:pPr>
      <w:r w:rsidRPr="00FB1957">
        <w:t xml:space="preserve">występuje </w:t>
      </w:r>
      <w:r w:rsidRPr="00FB1957">
        <w:rPr>
          <w:bCs/>
        </w:rPr>
        <w:t>ryzyko odpadania elementów pokrycia dachowego (np. dachówek)</w:t>
      </w:r>
      <w:r w:rsidRPr="00FB1957">
        <w:t>, co stwarza zagrożenie dla zdrowia i życia użytkowników, w szczególności osób z ograniczoną zdolnością reakcji lub ewakuacji.</w:t>
      </w:r>
    </w:p>
    <w:p w14:paraId="4AA7883E" w14:textId="77777777" w:rsidR="00FB1957" w:rsidRPr="00FB1957" w:rsidRDefault="00FB1957" w:rsidP="00383C30">
      <w:pPr>
        <w:pStyle w:val="Akapitzlist"/>
        <w:ind w:left="0"/>
      </w:pPr>
      <w:r w:rsidRPr="00FB1957">
        <w:t>Remont dachu jest niezbędny, aby:</w:t>
      </w:r>
    </w:p>
    <w:p w14:paraId="1822931C" w14:textId="77777777" w:rsidR="00FB1957" w:rsidRDefault="00FB1957" w:rsidP="007F4488">
      <w:pPr>
        <w:pStyle w:val="Akapitzlist"/>
        <w:numPr>
          <w:ilvl w:val="0"/>
          <w:numId w:val="23"/>
        </w:numPr>
        <w:ind w:left="426" w:hanging="284"/>
        <w:jc w:val="both"/>
      </w:pPr>
      <w:r w:rsidRPr="00FB1957">
        <w:rPr>
          <w:bCs/>
        </w:rPr>
        <w:t>zapewnić bezpieczne użytkowanie budynku przez wszystkich użytkowników</w:t>
      </w:r>
      <w:r w:rsidRPr="00FB1957">
        <w:t>, zgodnie z</w:t>
      </w:r>
      <w:r>
        <w:t> </w:t>
      </w:r>
      <w:r w:rsidRPr="00FB1957">
        <w:t>przepisami ustawy o zapewnianiu dostępności osobom ze szczególnymi potrzebami,</w:t>
      </w:r>
    </w:p>
    <w:p w14:paraId="017251D2" w14:textId="77777777" w:rsidR="00FB1957" w:rsidRDefault="00FB1957" w:rsidP="007F4488">
      <w:pPr>
        <w:pStyle w:val="Akapitzlist"/>
        <w:numPr>
          <w:ilvl w:val="0"/>
          <w:numId w:val="23"/>
        </w:numPr>
        <w:ind w:left="426" w:hanging="284"/>
        <w:jc w:val="both"/>
      </w:pPr>
      <w:r w:rsidRPr="00FB1957">
        <w:rPr>
          <w:bCs/>
        </w:rPr>
        <w:t>ochronić infrastrukturę wspierającą dostępność</w:t>
      </w:r>
      <w:r w:rsidRPr="00FB1957">
        <w:t xml:space="preserve"> (np. centrale komunikacyjne, systemy alarmowe, wyposażenie informacyjne),</w:t>
      </w:r>
    </w:p>
    <w:p w14:paraId="19B9A50E" w14:textId="77777777" w:rsidR="00FB1957" w:rsidRPr="00FB1957" w:rsidRDefault="00FB1957" w:rsidP="007F4488">
      <w:pPr>
        <w:pStyle w:val="Akapitzlist"/>
        <w:numPr>
          <w:ilvl w:val="0"/>
          <w:numId w:val="23"/>
        </w:numPr>
        <w:ind w:left="426" w:hanging="284"/>
        <w:jc w:val="both"/>
      </w:pPr>
      <w:r w:rsidRPr="00FB1957">
        <w:rPr>
          <w:bCs/>
        </w:rPr>
        <w:t>utrzymać budynek w stanie technicznym umożliwiającym jego użytkowanie</w:t>
      </w:r>
      <w:r w:rsidRPr="00FB1957">
        <w:t xml:space="preserve"> przez uczniów ze</w:t>
      </w:r>
      <w:r>
        <w:t> SPE,</w:t>
      </w:r>
      <w:r w:rsidRPr="00FB1957">
        <w:t xml:space="preserve"> w obecnym stanie dach może stanowić podstawę do uznania obiektu za</w:t>
      </w:r>
      <w:r>
        <w:t> </w:t>
      </w:r>
      <w:r w:rsidRPr="00FB1957">
        <w:rPr>
          <w:bCs/>
        </w:rPr>
        <w:t>funkcjonalnie niedostępny</w:t>
      </w:r>
      <w:r w:rsidRPr="00FB1957">
        <w:t xml:space="preserve"> dla tej grupy.</w:t>
      </w:r>
    </w:p>
    <w:p w14:paraId="01FDD3AC" w14:textId="54F0780B" w:rsidR="00FB1957" w:rsidRDefault="00FB1957" w:rsidP="00383C30">
      <w:pPr>
        <w:pStyle w:val="Akapitzlist"/>
        <w:ind w:left="0"/>
      </w:pPr>
      <w:r w:rsidRPr="00FB1957">
        <w:t>Będę wdzięczna za potwierdzenie, czy w świetle powyższych argumentów koszt remontu dachu może zostać zakwalifikowany jako wydatek kwalifikowalny w ramach projektu.</w:t>
      </w:r>
    </w:p>
    <w:p w14:paraId="283A2F37" w14:textId="77777777" w:rsidR="00413B72" w:rsidRPr="00FB1957" w:rsidRDefault="00413B72" w:rsidP="00383C30">
      <w:pPr>
        <w:pStyle w:val="Akapitzlist"/>
        <w:ind w:left="0"/>
      </w:pPr>
    </w:p>
    <w:p w14:paraId="0E4EF4D6" w14:textId="77777777" w:rsidR="00E602D6" w:rsidRDefault="00E602D6" w:rsidP="00383C30">
      <w:pPr>
        <w:pStyle w:val="Akapitzlist"/>
        <w:ind w:left="0"/>
        <w:rPr>
          <w:b/>
          <w:u w:val="single"/>
        </w:rPr>
      </w:pPr>
      <w:r w:rsidRPr="00E602D6">
        <w:rPr>
          <w:b/>
          <w:u w:val="single"/>
        </w:rPr>
        <w:t>Odpowiedz:</w:t>
      </w:r>
    </w:p>
    <w:p w14:paraId="06137073" w14:textId="77777777" w:rsidR="00AF1C5B" w:rsidRPr="00DC7A99" w:rsidRDefault="00AF1C5B" w:rsidP="00383C30">
      <w:pPr>
        <w:pStyle w:val="Akapitzlist"/>
        <w:ind w:left="0"/>
        <w:jc w:val="both"/>
        <w:rPr>
          <w:color w:val="0070C0"/>
        </w:rPr>
      </w:pPr>
      <w:r w:rsidRPr="00DC7A99">
        <w:rPr>
          <w:color w:val="0070C0"/>
        </w:rPr>
        <w:t>W odpowiedzi na zapytanie dotyczące możliwości zakwalifikowania remontu dachu jako elementu projektu planowanego w ramach naboru FEWM.05.01-IZ.00-001/25 – Działanie 05.01 Infrastruktura edukacyjna, Typ 1 – uprzejmie informuję, że remont dachu nie stanowi wydatku kwalifikowalnego w</w:t>
      </w:r>
      <w:r w:rsidR="007F4488" w:rsidRPr="00DC7A99">
        <w:rPr>
          <w:color w:val="0070C0"/>
        </w:rPr>
        <w:t> </w:t>
      </w:r>
      <w:r w:rsidRPr="00DC7A99">
        <w:rPr>
          <w:color w:val="0070C0"/>
        </w:rPr>
        <w:t>ramach przedmiotowego konkursu.</w:t>
      </w:r>
    </w:p>
    <w:p w14:paraId="32CD908D" w14:textId="77777777" w:rsidR="00E545ED" w:rsidRPr="00DC7A99" w:rsidRDefault="00E545ED" w:rsidP="00383C30">
      <w:pPr>
        <w:pStyle w:val="Akapitzlist"/>
        <w:ind w:left="0"/>
        <w:jc w:val="both"/>
        <w:rPr>
          <w:color w:val="0070C0"/>
        </w:rPr>
      </w:pPr>
    </w:p>
    <w:p w14:paraId="132F33AB" w14:textId="77777777" w:rsidR="00AF1C5B" w:rsidRPr="00DC7A99" w:rsidRDefault="00AF1C5B" w:rsidP="00383C30">
      <w:pPr>
        <w:pStyle w:val="Akapitzlist"/>
        <w:ind w:left="0"/>
        <w:rPr>
          <w:color w:val="0070C0"/>
        </w:rPr>
      </w:pPr>
      <w:r w:rsidRPr="00DC7A99">
        <w:rPr>
          <w:color w:val="0070C0"/>
        </w:rPr>
        <w:t>Zgodnie z dokumentacją konkursową, w tym w szczególności:</w:t>
      </w:r>
    </w:p>
    <w:p w14:paraId="14DDE6E3" w14:textId="77777777" w:rsidR="00AF1C5B" w:rsidRPr="00DC7A99" w:rsidRDefault="00AF1C5B" w:rsidP="00F37C12">
      <w:pPr>
        <w:pStyle w:val="Akapitzlist"/>
        <w:numPr>
          <w:ilvl w:val="0"/>
          <w:numId w:val="18"/>
        </w:numPr>
        <w:ind w:left="426" w:hanging="284"/>
        <w:rPr>
          <w:color w:val="0070C0"/>
        </w:rPr>
      </w:pPr>
      <w:r w:rsidRPr="00DC7A99">
        <w:rPr>
          <w:color w:val="0070C0"/>
        </w:rPr>
        <w:t>Załącznikiem nr 7.1 – Zasady kwalifikowalności wydatków,</w:t>
      </w:r>
    </w:p>
    <w:p w14:paraId="1FEF5C0C" w14:textId="77777777" w:rsidR="00AF1C5B" w:rsidRPr="00DC7A99" w:rsidRDefault="00AF1C5B" w:rsidP="00F37C12">
      <w:pPr>
        <w:pStyle w:val="Akapitzlist"/>
        <w:numPr>
          <w:ilvl w:val="0"/>
          <w:numId w:val="18"/>
        </w:numPr>
        <w:ind w:left="426" w:hanging="284"/>
        <w:rPr>
          <w:color w:val="0070C0"/>
        </w:rPr>
      </w:pPr>
      <w:r w:rsidRPr="00DC7A99">
        <w:rPr>
          <w:color w:val="0070C0"/>
        </w:rPr>
        <w:t>Ogłoszeniem o naborze projektów,</w:t>
      </w:r>
    </w:p>
    <w:p w14:paraId="3CAAFA12" w14:textId="77777777" w:rsidR="00AF1C5B" w:rsidRPr="00DC7A99" w:rsidRDefault="00AF1C5B" w:rsidP="00F37C12">
      <w:pPr>
        <w:pStyle w:val="Akapitzlist"/>
        <w:numPr>
          <w:ilvl w:val="0"/>
          <w:numId w:val="18"/>
        </w:numPr>
        <w:ind w:left="426" w:hanging="284"/>
        <w:rPr>
          <w:color w:val="0070C0"/>
        </w:rPr>
      </w:pPr>
      <w:r w:rsidRPr="00DC7A99">
        <w:rPr>
          <w:color w:val="0070C0"/>
        </w:rPr>
        <w:t>Standardami dostępności dla polityki spójności 2021–2027 (Załącznik nr 2),</w:t>
      </w:r>
    </w:p>
    <w:p w14:paraId="064869D9" w14:textId="77777777" w:rsidR="00AF1C5B" w:rsidRPr="00DC7A99" w:rsidRDefault="00AF1C5B" w:rsidP="00383C30">
      <w:pPr>
        <w:pStyle w:val="Akapitzlist"/>
        <w:ind w:left="0"/>
        <w:jc w:val="both"/>
        <w:rPr>
          <w:color w:val="0070C0"/>
        </w:rPr>
      </w:pPr>
      <w:r w:rsidRPr="00DC7A99">
        <w:rPr>
          <w:color w:val="0070C0"/>
        </w:rPr>
        <w:t>wsparcie finansowe dotyczy inwestycji mających na celu dostosowanie istniejącej infrastruktury edukacyjnej do potrzeb osób ze specjalnymi potrzebami edukacyjnymi (SPE). W dokumentach tych przewidziano możliwość realizacji robót budowlanych i zakupu wyposażenia, pod warunkiem, że są one funkcjonalnie powiązane z likwidacją barier architektonicznych, informacyjno-komunikacyjnych lub cyfrowych.</w:t>
      </w:r>
    </w:p>
    <w:p w14:paraId="23114D20" w14:textId="77777777" w:rsidR="00AF1C5B" w:rsidRPr="00DC7A99" w:rsidRDefault="00AF1C5B" w:rsidP="00383C30">
      <w:pPr>
        <w:pStyle w:val="Akapitzlist"/>
        <w:ind w:left="0"/>
        <w:jc w:val="both"/>
        <w:rPr>
          <w:color w:val="0070C0"/>
        </w:rPr>
      </w:pPr>
    </w:p>
    <w:p w14:paraId="69C88D4E" w14:textId="77777777" w:rsidR="00AF1C5B" w:rsidRPr="00DC7A99" w:rsidRDefault="00AF1C5B" w:rsidP="00383C30">
      <w:pPr>
        <w:pStyle w:val="Akapitzlist"/>
        <w:ind w:left="0"/>
        <w:jc w:val="both"/>
        <w:rPr>
          <w:color w:val="0070C0"/>
        </w:rPr>
      </w:pPr>
      <w:r w:rsidRPr="00DC7A99">
        <w:rPr>
          <w:color w:val="0070C0"/>
        </w:rPr>
        <w:t>Należy podkreślić, że w Standardach dostępności (Załącznik nr 2) brak jest jakiegokolwiek odniesienia do dachu, jego konstrukcji, remontu lub pokrycia. Dokument ten koncentruje się na:</w:t>
      </w:r>
    </w:p>
    <w:p w14:paraId="4DE1CA84" w14:textId="77777777" w:rsidR="00AF1C5B" w:rsidRPr="00DC7A99" w:rsidRDefault="00AF1C5B" w:rsidP="00F37C12">
      <w:pPr>
        <w:pStyle w:val="Akapitzlist"/>
        <w:numPr>
          <w:ilvl w:val="0"/>
          <w:numId w:val="19"/>
        </w:numPr>
        <w:ind w:left="426" w:hanging="284"/>
        <w:rPr>
          <w:color w:val="0070C0"/>
        </w:rPr>
      </w:pPr>
      <w:r w:rsidRPr="00DC7A99">
        <w:rPr>
          <w:color w:val="0070C0"/>
        </w:rPr>
        <w:t>dostępności wejść i komunikacji poziomej/pionowej (np. windy, pochylnie),</w:t>
      </w:r>
    </w:p>
    <w:p w14:paraId="6A231A58" w14:textId="77777777" w:rsidR="00AF1C5B" w:rsidRPr="00DC7A99" w:rsidRDefault="00AF1C5B" w:rsidP="00F37C12">
      <w:pPr>
        <w:pStyle w:val="Akapitzlist"/>
        <w:numPr>
          <w:ilvl w:val="0"/>
          <w:numId w:val="19"/>
        </w:numPr>
        <w:ind w:left="426" w:hanging="284"/>
        <w:rPr>
          <w:color w:val="0070C0"/>
        </w:rPr>
      </w:pPr>
      <w:r w:rsidRPr="00DC7A99">
        <w:rPr>
          <w:color w:val="0070C0"/>
        </w:rPr>
        <w:t>dostępności toalet, pomieszczeń dydaktycznych, ewakuacji,</w:t>
      </w:r>
    </w:p>
    <w:p w14:paraId="5FB68D7D" w14:textId="77777777" w:rsidR="00AF1C5B" w:rsidRPr="00DC7A99" w:rsidRDefault="00AF1C5B" w:rsidP="00F37C12">
      <w:pPr>
        <w:pStyle w:val="Akapitzlist"/>
        <w:numPr>
          <w:ilvl w:val="0"/>
          <w:numId w:val="19"/>
        </w:numPr>
        <w:ind w:left="426" w:hanging="284"/>
        <w:rPr>
          <w:color w:val="0070C0"/>
        </w:rPr>
      </w:pPr>
      <w:r w:rsidRPr="00DC7A99">
        <w:rPr>
          <w:color w:val="0070C0"/>
        </w:rPr>
        <w:t>oświetleniu, akustyce, systemach informacji wizualnej i dźwiękowej.</w:t>
      </w:r>
    </w:p>
    <w:p w14:paraId="795EE759" w14:textId="77777777" w:rsidR="002F7EA9" w:rsidRPr="00DC7A99" w:rsidRDefault="002F7EA9" w:rsidP="00383C30">
      <w:pPr>
        <w:pStyle w:val="Akapitzlist"/>
        <w:ind w:left="0"/>
        <w:jc w:val="both"/>
        <w:rPr>
          <w:color w:val="0070C0"/>
        </w:rPr>
      </w:pPr>
    </w:p>
    <w:p w14:paraId="15C916A7" w14:textId="77777777" w:rsidR="00AF1C5B" w:rsidRPr="00DC7A99" w:rsidRDefault="00AF1C5B" w:rsidP="00383C30">
      <w:pPr>
        <w:pStyle w:val="Akapitzlist"/>
        <w:ind w:left="0"/>
        <w:jc w:val="both"/>
        <w:rPr>
          <w:color w:val="0070C0"/>
        </w:rPr>
      </w:pPr>
      <w:r w:rsidRPr="00DC7A99">
        <w:rPr>
          <w:color w:val="0070C0"/>
        </w:rPr>
        <w:t>Mimo że wskazany w raporcie stan techniczny dachu może realnie wpływać na komfort użytkowania budynku, charakter tego wydatku należy zakwalifikować jako ogólnobudowlany, niezaadresowany bezpośrednio do celów zwiększania dostępności, a tym samym niekwalifikowalny w ramach naboru.</w:t>
      </w:r>
    </w:p>
    <w:p w14:paraId="5E76AF73" w14:textId="21CAB9C9" w:rsidR="002F7EA9" w:rsidRDefault="002F7EA9" w:rsidP="00383C30">
      <w:pPr>
        <w:pStyle w:val="Akapitzlist"/>
        <w:ind w:left="0"/>
        <w:jc w:val="both"/>
        <w:rPr>
          <w:color w:val="0070C0"/>
        </w:rPr>
      </w:pPr>
    </w:p>
    <w:p w14:paraId="79461F65" w14:textId="553FDF8F" w:rsidR="00DC7A99" w:rsidRDefault="00DC7A99" w:rsidP="00383C30">
      <w:pPr>
        <w:pStyle w:val="Akapitzlist"/>
        <w:ind w:left="0"/>
        <w:jc w:val="both"/>
        <w:rPr>
          <w:color w:val="0070C0"/>
        </w:rPr>
      </w:pPr>
    </w:p>
    <w:p w14:paraId="0E704F5D" w14:textId="77777777" w:rsidR="00413B72" w:rsidRPr="00DC7A99" w:rsidRDefault="00413B72" w:rsidP="00383C30">
      <w:pPr>
        <w:pStyle w:val="Akapitzlist"/>
        <w:ind w:left="0"/>
        <w:jc w:val="both"/>
        <w:rPr>
          <w:color w:val="0070C0"/>
        </w:rPr>
      </w:pPr>
    </w:p>
    <w:p w14:paraId="724664CD" w14:textId="129D9431" w:rsidR="00AF1C5B" w:rsidRDefault="00AF1C5B" w:rsidP="007F4488">
      <w:pPr>
        <w:pStyle w:val="Akapitzlist"/>
        <w:numPr>
          <w:ilvl w:val="0"/>
          <w:numId w:val="1"/>
        </w:numPr>
        <w:ind w:left="0"/>
        <w:rPr>
          <w:b/>
        </w:rPr>
      </w:pPr>
      <w:r w:rsidRPr="00AF1C5B">
        <w:rPr>
          <w:b/>
        </w:rPr>
        <w:lastRenderedPageBreak/>
        <w:t xml:space="preserve">Pytanie </w:t>
      </w:r>
    </w:p>
    <w:p w14:paraId="1195F11B" w14:textId="2DEBADF9" w:rsidR="00C72080" w:rsidRPr="00C72080" w:rsidRDefault="00C72080" w:rsidP="007F4488">
      <w:pPr>
        <w:pStyle w:val="Akapitzlist"/>
        <w:ind w:left="0"/>
        <w:jc w:val="both"/>
      </w:pPr>
      <w:r w:rsidRPr="00C72080">
        <w:t xml:space="preserve"> W regulaminie wskazano możliwość:</w:t>
      </w:r>
      <w:r w:rsidR="00337179">
        <w:t xml:space="preserve"> </w:t>
      </w:r>
      <w:r w:rsidRPr="00C72080">
        <w:t>„sfinansowania inwestycji w infrastrukturę i wyposażenie placówek oświatowych w celu zwiększenia ich dostępności dla osób ze specjalnymi potrzebami edukacyjnymi:</w:t>
      </w:r>
    </w:p>
    <w:p w14:paraId="404F4A30" w14:textId="77777777" w:rsidR="00337179" w:rsidRDefault="00C72080" w:rsidP="007F4488">
      <w:pPr>
        <w:pStyle w:val="Akapitzlist"/>
        <w:numPr>
          <w:ilvl w:val="0"/>
          <w:numId w:val="26"/>
        </w:numPr>
        <w:ind w:left="426"/>
        <w:jc w:val="both"/>
      </w:pPr>
      <w:r w:rsidRPr="00C72080">
        <w:t>roboty budowlane (z wyłączeniem budowy nowych obiektów) obiektów edukacyjnych wraz z</w:t>
      </w:r>
      <w:r w:rsidR="007F4488">
        <w:t> </w:t>
      </w:r>
      <w:r w:rsidRPr="00C72080">
        <w:t>wyposażeniem w nowoczesny sprzęt w celu dostosowania infrastruktury pod kątem osób ze</w:t>
      </w:r>
      <w:r w:rsidR="007F4488">
        <w:t> </w:t>
      </w:r>
      <w:r w:rsidRPr="00C72080">
        <w:t>specjalnymi potrzebami edukacyjnymi,</w:t>
      </w:r>
    </w:p>
    <w:p w14:paraId="3CDDE1D0" w14:textId="77777777" w:rsidR="00337179" w:rsidRDefault="00C72080" w:rsidP="007F4488">
      <w:pPr>
        <w:pStyle w:val="Akapitzlist"/>
        <w:numPr>
          <w:ilvl w:val="0"/>
          <w:numId w:val="26"/>
        </w:numPr>
        <w:ind w:left="426"/>
        <w:jc w:val="both"/>
      </w:pPr>
      <w:r w:rsidRPr="00C72080">
        <w:t>wyposażenie w niezbędny sprzęt dydaktyczny pod kątem osób ze specjalnymi potrzebami edukacyjnymi,</w:t>
      </w:r>
    </w:p>
    <w:p w14:paraId="272CC241" w14:textId="77777777" w:rsidR="00337179" w:rsidRDefault="00C72080" w:rsidP="007F4488">
      <w:pPr>
        <w:pStyle w:val="Akapitzlist"/>
        <w:numPr>
          <w:ilvl w:val="0"/>
          <w:numId w:val="26"/>
        </w:numPr>
        <w:ind w:left="426"/>
        <w:jc w:val="both"/>
      </w:pPr>
      <w:r w:rsidRPr="00C72080">
        <w:t>inwestycje w przyszkolną infrastrukturę sportową (jako element projektu),</w:t>
      </w:r>
    </w:p>
    <w:p w14:paraId="7B24FB58" w14:textId="77777777" w:rsidR="00C72080" w:rsidRPr="00C72080" w:rsidRDefault="00C72080" w:rsidP="007F4488">
      <w:pPr>
        <w:pStyle w:val="Akapitzlist"/>
        <w:numPr>
          <w:ilvl w:val="0"/>
          <w:numId w:val="26"/>
        </w:numPr>
        <w:ind w:left="426"/>
        <w:jc w:val="both"/>
      </w:pPr>
      <w:r w:rsidRPr="00C72080">
        <w:t>w tym przystosowanie do potrzeb osób z niepełnosprawnościami.</w:t>
      </w:r>
      <w:r w:rsidRPr="00C72080">
        <w:br/>
        <w:t>Inwestycje w infrastrukturę będą zgodne z zasadami uniwersalnego projektowania, a tam, gdzie nie będzie możliwe ich pełne zastosowanie, zostaną wprowadzone usprawnienia eliminujące bariery funkcjonalne.”</w:t>
      </w:r>
    </w:p>
    <w:p w14:paraId="54CB66F6" w14:textId="77777777" w:rsidR="00337179" w:rsidRDefault="00C72080" w:rsidP="007F4488">
      <w:pPr>
        <w:pStyle w:val="Akapitzlist"/>
        <w:ind w:left="0"/>
      </w:pPr>
      <w:r w:rsidRPr="00C72080">
        <w:t>W związku z powyższym mam kilka pytań:</w:t>
      </w:r>
    </w:p>
    <w:p w14:paraId="1A39DF49" w14:textId="77777777" w:rsidR="00337179" w:rsidRDefault="00C72080" w:rsidP="007F4488">
      <w:pPr>
        <w:pStyle w:val="Akapitzlist"/>
        <w:ind w:left="0"/>
        <w:jc w:val="both"/>
      </w:pPr>
      <w:r w:rsidRPr="00337179">
        <w:rPr>
          <w:b/>
          <w:bCs/>
        </w:rPr>
        <w:t>Czy w ramach projektu możliwe jest dostosowanie łazienek do potrzeb osób z</w:t>
      </w:r>
      <w:r w:rsidR="00337179" w:rsidRPr="00337179">
        <w:rPr>
          <w:b/>
          <w:bCs/>
        </w:rPr>
        <w:t> </w:t>
      </w:r>
      <w:r w:rsidRPr="00337179">
        <w:rPr>
          <w:b/>
          <w:bCs/>
        </w:rPr>
        <w:t>niepełnosprawnościami?</w:t>
      </w:r>
      <w:r w:rsidRPr="00C72080">
        <w:br/>
        <w:t>Zwracam uwagę na sformułowanie „obiektów edukacyjnych”, które może sugerować, że</w:t>
      </w:r>
      <w:r w:rsidR="00337179">
        <w:t> </w:t>
      </w:r>
      <w:r w:rsidRPr="00C72080">
        <w:t>kwalifikowalne są jedynie te działania, które bezpośrednio usprawniają proces edukacyjny. Z drugiej strony trudno wyobrazić sobie pełną dostępność bez zapewnienia odpowiednich warunków sanitarno-higienicznych. Czy tego typu dostosowania (łazienki, toalety, przestrzenie sanitarne) są traktowane jako element infrastruktury wspierającej dostępność edukacyjną i</w:t>
      </w:r>
      <w:r w:rsidR="00337179">
        <w:t> </w:t>
      </w:r>
      <w:r w:rsidRPr="00C72080">
        <w:t>tym samym mogą zostać objęte wsparciem?</w:t>
      </w:r>
    </w:p>
    <w:p w14:paraId="3937A6EC" w14:textId="77777777" w:rsidR="00337179" w:rsidRDefault="00C72080" w:rsidP="007F4488">
      <w:pPr>
        <w:pStyle w:val="Akapitzlist"/>
        <w:ind w:left="0"/>
        <w:jc w:val="both"/>
      </w:pPr>
      <w:r w:rsidRPr="00337179">
        <w:rPr>
          <w:b/>
          <w:bCs/>
        </w:rPr>
        <w:t>Czy kwalifikowalne będą wydatki związane z utworzeniem tzw. sal</w:t>
      </w:r>
      <w:r w:rsidR="00337179" w:rsidRPr="00337179">
        <w:rPr>
          <w:b/>
          <w:bCs/>
        </w:rPr>
        <w:t>i</w:t>
      </w:r>
      <w:r w:rsidRPr="00337179">
        <w:rPr>
          <w:b/>
          <w:bCs/>
        </w:rPr>
        <w:t xml:space="preserve"> </w:t>
      </w:r>
      <w:proofErr w:type="spellStart"/>
      <w:r w:rsidRPr="00337179">
        <w:rPr>
          <w:b/>
          <w:bCs/>
        </w:rPr>
        <w:t>wyciszeń</w:t>
      </w:r>
      <w:proofErr w:type="spellEnd"/>
      <w:r w:rsidRPr="00337179">
        <w:rPr>
          <w:b/>
          <w:bCs/>
        </w:rPr>
        <w:t xml:space="preserve"> w gmachu biblioteki?</w:t>
      </w:r>
      <w:r w:rsidRPr="00C72080">
        <w:br/>
        <w:t>Pomieszcz</w:t>
      </w:r>
      <w:r w:rsidR="00337179">
        <w:t>enia te miałyby służyć osobom</w:t>
      </w:r>
      <w:r w:rsidRPr="00C72080">
        <w:t xml:space="preserve"> ze specjalnymi potrzebami edukacyjnymi, w</w:t>
      </w:r>
      <w:r w:rsidR="00337179">
        <w:t> </w:t>
      </w:r>
      <w:r w:rsidRPr="00C72080">
        <w:t>szczególności osobom z ADHD, zespołem Aspergera czy trudnościami w koncentracji, zapewniając im komfortowe warunki do nauki. Przedsięwzięcie obejmowałoby roboty budowlane (modernizacyjne) oraz zakup wyposażenia i specjalistycznych urządzeń. Czy tego rodzaju działania mieszczą się w zakresie wsparcia?</w:t>
      </w:r>
    </w:p>
    <w:p w14:paraId="270B7671" w14:textId="77777777" w:rsidR="00B47536" w:rsidRDefault="00C72080" w:rsidP="007F4488">
      <w:pPr>
        <w:pStyle w:val="Akapitzlist"/>
        <w:ind w:left="0"/>
        <w:jc w:val="both"/>
        <w:rPr>
          <w:b/>
        </w:rPr>
      </w:pPr>
      <w:r w:rsidRPr="00337179">
        <w:rPr>
          <w:b/>
          <w:bCs/>
        </w:rPr>
        <w:t>Czy możliwa jest realizacja inwestycji w przyuczelnianą infrastrukturę sportową</w:t>
      </w:r>
      <w:r w:rsidRPr="00C72080">
        <w:t xml:space="preserve">, </w:t>
      </w:r>
      <w:r w:rsidRPr="00B47536">
        <w:rPr>
          <w:b/>
        </w:rPr>
        <w:t>z</w:t>
      </w:r>
      <w:r w:rsidR="00337179" w:rsidRPr="00B47536">
        <w:rPr>
          <w:b/>
        </w:rPr>
        <w:t> </w:t>
      </w:r>
      <w:r w:rsidRPr="00B47536">
        <w:rPr>
          <w:b/>
        </w:rPr>
        <w:t>przeznaczeniem dla osób z niepełnosprawnościami, jako element projektu?</w:t>
      </w:r>
    </w:p>
    <w:p w14:paraId="7DCB8432" w14:textId="77777777" w:rsidR="00C72080" w:rsidRPr="00C72080" w:rsidRDefault="00C72080" w:rsidP="007F4488">
      <w:pPr>
        <w:pStyle w:val="Akapitzlist"/>
        <w:ind w:left="0"/>
        <w:jc w:val="both"/>
      </w:pPr>
      <w:r w:rsidRPr="00C72080">
        <w:t>Chodzi m.in. o wykonanie podjazdów, montaż poręczy, zakup s</w:t>
      </w:r>
      <w:r w:rsidR="00337179">
        <w:t xml:space="preserve">portowych wózków inwalidzkich </w:t>
      </w:r>
      <w:r w:rsidRPr="00C72080">
        <w:t>tak, by</w:t>
      </w:r>
      <w:r w:rsidR="007F4488">
        <w:t> </w:t>
      </w:r>
      <w:r w:rsidRPr="00C72080">
        <w:t xml:space="preserve">infrastruktura była dostępna i użyteczna dla </w:t>
      </w:r>
      <w:r w:rsidR="00337179">
        <w:t>osób</w:t>
      </w:r>
      <w:r w:rsidRPr="00C72080">
        <w:t xml:space="preserve"> ze SPE. Czy takie wydatki również kwalifikują się do</w:t>
      </w:r>
      <w:r w:rsidR="007F4488">
        <w:t> </w:t>
      </w:r>
      <w:r w:rsidRPr="00C72080">
        <w:t>wsparcia?</w:t>
      </w:r>
    </w:p>
    <w:p w14:paraId="039B6662" w14:textId="77777777" w:rsidR="00337179" w:rsidRDefault="00C72080" w:rsidP="007F4488">
      <w:pPr>
        <w:pStyle w:val="Akapitzlist"/>
        <w:ind w:left="0"/>
      </w:pPr>
      <w:r w:rsidRPr="00C72080">
        <w:t>Będę wdzięczna za potwierdzenie, czy opisane działania są zgodne z zasadami konkursu i mogą zostać ujęte we wniosku o dofinansowanie.</w:t>
      </w:r>
    </w:p>
    <w:p w14:paraId="62EC1C37" w14:textId="77777777" w:rsidR="003F6C49" w:rsidRDefault="003F6C49" w:rsidP="007F4488">
      <w:pPr>
        <w:pStyle w:val="Akapitzlist"/>
        <w:ind w:left="0"/>
        <w:rPr>
          <w:b/>
          <w:u w:val="single"/>
        </w:rPr>
      </w:pPr>
    </w:p>
    <w:p w14:paraId="7BB36696" w14:textId="0EAECC9B" w:rsidR="00337179" w:rsidRPr="00337179" w:rsidRDefault="00337179" w:rsidP="007F4488">
      <w:pPr>
        <w:pStyle w:val="Akapitzlist"/>
        <w:ind w:left="0"/>
      </w:pPr>
      <w:r w:rsidRPr="00337179">
        <w:rPr>
          <w:b/>
          <w:u w:val="single"/>
        </w:rPr>
        <w:t>Odpowiedz:</w:t>
      </w:r>
    </w:p>
    <w:p w14:paraId="639E3108" w14:textId="77777777" w:rsidR="00337179" w:rsidRPr="00337179" w:rsidRDefault="00C72080" w:rsidP="007F4488">
      <w:pPr>
        <w:pStyle w:val="Akapitzlist"/>
        <w:ind w:left="0"/>
        <w:jc w:val="both"/>
      </w:pPr>
      <w:bookmarkStart w:id="0" w:name="_GoBack"/>
      <w:bookmarkEnd w:id="0"/>
      <w:r w:rsidRPr="00337179">
        <w:rPr>
          <w:b/>
          <w:bCs/>
        </w:rPr>
        <w:t>Czy w ramach projektu możliwe jest dostosowanie łazienek do potrzeb osób z</w:t>
      </w:r>
      <w:r w:rsidR="00337179" w:rsidRPr="00337179">
        <w:rPr>
          <w:b/>
          <w:bCs/>
        </w:rPr>
        <w:t> </w:t>
      </w:r>
      <w:r w:rsidRPr="00337179">
        <w:rPr>
          <w:b/>
          <w:bCs/>
        </w:rPr>
        <w:t>niepełnosprawnościami?</w:t>
      </w:r>
    </w:p>
    <w:p w14:paraId="46CBF458" w14:textId="77777777" w:rsidR="00337179" w:rsidRPr="00DC7A99" w:rsidRDefault="00337179" w:rsidP="007F4488">
      <w:pPr>
        <w:pStyle w:val="Akapitzlist"/>
        <w:ind w:left="0"/>
        <w:jc w:val="both"/>
        <w:rPr>
          <w:color w:val="0070C0"/>
        </w:rPr>
      </w:pPr>
      <w:r w:rsidRPr="00DC7A99">
        <w:rPr>
          <w:bCs/>
          <w:color w:val="0070C0"/>
        </w:rPr>
        <w:t>Tak, dostosowanie łazienek do potrzeb osób z niepełnosprawnościami może stanowić element projektu</w:t>
      </w:r>
      <w:r w:rsidRPr="00DC7A99">
        <w:rPr>
          <w:color w:val="0070C0"/>
        </w:rPr>
        <w:t xml:space="preserve">, pod warunkiem że </w:t>
      </w:r>
      <w:r w:rsidRPr="00DC7A99">
        <w:rPr>
          <w:bCs/>
          <w:color w:val="0070C0"/>
        </w:rPr>
        <w:t>budynek, w którym się znajdują, jest w pełni dostępny dla osób z niepełnosprawnościami</w:t>
      </w:r>
      <w:r w:rsidRPr="00DC7A99">
        <w:rPr>
          <w:color w:val="0070C0"/>
        </w:rPr>
        <w:t xml:space="preserve"> – tzn. posiada odpowiednie rozwiązania architektoniczne, takie jak np. podjazdy (dla </w:t>
      </w:r>
      <w:proofErr w:type="spellStart"/>
      <w:r w:rsidRPr="00DC7A99">
        <w:rPr>
          <w:color w:val="0070C0"/>
        </w:rPr>
        <w:t>OzN</w:t>
      </w:r>
      <w:proofErr w:type="spellEnd"/>
      <w:r w:rsidRPr="00DC7A99">
        <w:rPr>
          <w:color w:val="0070C0"/>
        </w:rPr>
        <w:t>), a w przypadku budynków wielokondygnacyjnych – również windę lub inne formy pionowej komunikacji dostosowanej do potrzeb osób z ograniczoną mobilnością.</w:t>
      </w:r>
    </w:p>
    <w:p w14:paraId="1969B827" w14:textId="77777777" w:rsidR="00337179" w:rsidRPr="00DC7A99" w:rsidRDefault="00337179" w:rsidP="007F4488">
      <w:pPr>
        <w:pStyle w:val="Akapitzlist"/>
        <w:ind w:left="0"/>
        <w:jc w:val="both"/>
        <w:rPr>
          <w:b/>
          <w:color w:val="0070C0"/>
        </w:rPr>
      </w:pPr>
      <w:r w:rsidRPr="00DC7A99">
        <w:rPr>
          <w:color w:val="0070C0"/>
        </w:rPr>
        <w:t>Jeżeli budynek nie jest dostępny dla osób z niepełnosprawnościami (</w:t>
      </w:r>
      <w:proofErr w:type="spellStart"/>
      <w:r w:rsidRPr="00DC7A99">
        <w:rPr>
          <w:color w:val="0070C0"/>
        </w:rPr>
        <w:t>OzN</w:t>
      </w:r>
      <w:proofErr w:type="spellEnd"/>
      <w:r w:rsidRPr="00DC7A99">
        <w:rPr>
          <w:color w:val="0070C0"/>
        </w:rPr>
        <w:t xml:space="preserve">), </w:t>
      </w:r>
      <w:r w:rsidRPr="00DC7A99">
        <w:rPr>
          <w:rStyle w:val="Pogrubienie"/>
          <w:b w:val="0"/>
          <w:color w:val="0070C0"/>
        </w:rPr>
        <w:t>sfinansowanie wyłącznie dostosowania łazienek nie będzie możliwe</w:t>
      </w:r>
      <w:r w:rsidRPr="00DC7A99">
        <w:rPr>
          <w:b/>
          <w:color w:val="0070C0"/>
        </w:rPr>
        <w:t>.</w:t>
      </w:r>
    </w:p>
    <w:p w14:paraId="07CA5E07" w14:textId="122F5B8F" w:rsidR="007F4488" w:rsidRDefault="007F4488" w:rsidP="007F4488">
      <w:pPr>
        <w:pStyle w:val="Akapitzlist"/>
        <w:ind w:left="0"/>
        <w:jc w:val="both"/>
      </w:pPr>
    </w:p>
    <w:p w14:paraId="3DD825C9" w14:textId="77777777" w:rsidR="00DC7A99" w:rsidRPr="00337179" w:rsidRDefault="00DC7A99" w:rsidP="007F4488">
      <w:pPr>
        <w:pStyle w:val="Akapitzlist"/>
        <w:ind w:left="0"/>
        <w:jc w:val="both"/>
      </w:pPr>
    </w:p>
    <w:p w14:paraId="7985EC4F" w14:textId="77777777" w:rsidR="00337179" w:rsidRDefault="00C72080" w:rsidP="007F4488">
      <w:pPr>
        <w:pStyle w:val="Akapitzlist"/>
        <w:ind w:left="0"/>
        <w:jc w:val="both"/>
      </w:pPr>
      <w:r w:rsidRPr="00337179">
        <w:rPr>
          <w:b/>
          <w:bCs/>
        </w:rPr>
        <w:lastRenderedPageBreak/>
        <w:t>Czy kwalifikowalne będą wydatki związane z utworzeniem tzw. sal</w:t>
      </w:r>
      <w:r w:rsidR="00337179" w:rsidRPr="00337179">
        <w:rPr>
          <w:b/>
          <w:bCs/>
        </w:rPr>
        <w:t>i</w:t>
      </w:r>
      <w:r w:rsidRPr="00337179">
        <w:rPr>
          <w:b/>
          <w:bCs/>
        </w:rPr>
        <w:t xml:space="preserve"> </w:t>
      </w:r>
      <w:proofErr w:type="spellStart"/>
      <w:r w:rsidRPr="00337179">
        <w:rPr>
          <w:b/>
          <w:bCs/>
        </w:rPr>
        <w:t>wyciszeń</w:t>
      </w:r>
      <w:proofErr w:type="spellEnd"/>
      <w:r w:rsidRPr="00337179">
        <w:rPr>
          <w:b/>
          <w:bCs/>
        </w:rPr>
        <w:t xml:space="preserve"> w gmachu biblioteki?</w:t>
      </w:r>
    </w:p>
    <w:p w14:paraId="21C794A1" w14:textId="77777777" w:rsidR="00B47536" w:rsidRPr="00DC7A99" w:rsidRDefault="00B47536" w:rsidP="007F4488">
      <w:pPr>
        <w:pStyle w:val="Akapitzlist"/>
        <w:ind w:left="0"/>
        <w:jc w:val="both"/>
        <w:rPr>
          <w:color w:val="0070C0"/>
        </w:rPr>
      </w:pPr>
      <w:r w:rsidRPr="00DC7A99">
        <w:rPr>
          <w:bCs/>
          <w:color w:val="0070C0"/>
        </w:rPr>
        <w:t>Tak, realizacja takich zadań jest możliwa, pod warunkiem że Wnioskodawca wykaże, iż na zajęcia w</w:t>
      </w:r>
      <w:r w:rsidR="007F4488" w:rsidRPr="00DC7A99">
        <w:rPr>
          <w:bCs/>
          <w:color w:val="0070C0"/>
        </w:rPr>
        <w:t> </w:t>
      </w:r>
      <w:r w:rsidRPr="00DC7A99">
        <w:rPr>
          <w:bCs/>
          <w:color w:val="0070C0"/>
        </w:rPr>
        <w:t>uczelni uczęszczają studenci ze schorzeniami uzasadniającymi potrzebę wsparcia.</w:t>
      </w:r>
      <w:r w:rsidRPr="00DC7A99">
        <w:rPr>
          <w:color w:val="0070C0"/>
        </w:rPr>
        <w:br/>
        <w:t xml:space="preserve">Należy przy tym zaznaczyć, że </w:t>
      </w:r>
      <w:r w:rsidRPr="00DC7A99">
        <w:rPr>
          <w:bCs/>
          <w:color w:val="0070C0"/>
        </w:rPr>
        <w:t>jeśli do tej grupy zaliczani są studenci studiów podyplomowych lub studiów odpłatnych</w:t>
      </w:r>
      <w:r w:rsidRPr="00DC7A99">
        <w:rPr>
          <w:color w:val="0070C0"/>
        </w:rPr>
        <w:t xml:space="preserve">, projekt będzie kwalifikowany jako </w:t>
      </w:r>
      <w:r w:rsidRPr="00DC7A99">
        <w:rPr>
          <w:bCs/>
          <w:color w:val="0070C0"/>
        </w:rPr>
        <w:t>pomoc publiczna</w:t>
      </w:r>
      <w:r w:rsidRPr="00DC7A99">
        <w:rPr>
          <w:color w:val="0070C0"/>
        </w:rPr>
        <w:t>.</w:t>
      </w:r>
    </w:p>
    <w:p w14:paraId="009D96C5" w14:textId="77777777" w:rsidR="007F4488" w:rsidRDefault="007F4488" w:rsidP="007F4488">
      <w:pPr>
        <w:pStyle w:val="Akapitzlist"/>
        <w:ind w:left="0"/>
        <w:jc w:val="both"/>
      </w:pPr>
    </w:p>
    <w:p w14:paraId="38ADB279" w14:textId="77777777" w:rsidR="00B47536" w:rsidRPr="00B47536" w:rsidRDefault="00C72080" w:rsidP="007F4488">
      <w:pPr>
        <w:pStyle w:val="Akapitzlist"/>
        <w:ind w:left="0"/>
        <w:jc w:val="both"/>
      </w:pPr>
      <w:r w:rsidRPr="00B47536">
        <w:rPr>
          <w:b/>
          <w:bCs/>
        </w:rPr>
        <w:t>Czy możliwa jest realizacja inwestycji w przyuczelnianą infrastrukturę sportową</w:t>
      </w:r>
      <w:r w:rsidRPr="00B47536">
        <w:t xml:space="preserve">, </w:t>
      </w:r>
      <w:r w:rsidRPr="00B47536">
        <w:rPr>
          <w:b/>
        </w:rPr>
        <w:t>z</w:t>
      </w:r>
      <w:r w:rsidR="00B47536" w:rsidRPr="00B47536">
        <w:rPr>
          <w:b/>
        </w:rPr>
        <w:t> </w:t>
      </w:r>
      <w:r w:rsidRPr="00B47536">
        <w:rPr>
          <w:b/>
        </w:rPr>
        <w:t>przeznaczeniem dla osób z niepełnosprawnościami, jako element projektu?</w:t>
      </w:r>
    </w:p>
    <w:p w14:paraId="7AA49A8E" w14:textId="77777777" w:rsidR="00B47536" w:rsidRPr="00DC7A99" w:rsidRDefault="00B47536" w:rsidP="007F4488">
      <w:pPr>
        <w:pStyle w:val="Akapitzlist"/>
        <w:ind w:left="0"/>
        <w:jc w:val="both"/>
        <w:rPr>
          <w:color w:val="0070C0"/>
        </w:rPr>
      </w:pPr>
      <w:r w:rsidRPr="00DC7A99">
        <w:rPr>
          <w:bCs/>
          <w:color w:val="0070C0"/>
        </w:rPr>
        <w:t xml:space="preserve">Należy pamiętać, że w ramach projektu nie przewiduje się budowy nowej infrastruktury sportowej możliwe jest wyłącznie dostosowanie istniejącej. </w:t>
      </w:r>
      <w:r w:rsidRPr="00DC7A99">
        <w:rPr>
          <w:color w:val="0070C0"/>
        </w:rPr>
        <w:t xml:space="preserve">Ponadto, </w:t>
      </w:r>
      <w:r w:rsidRPr="00DC7A99">
        <w:rPr>
          <w:bCs/>
          <w:color w:val="0070C0"/>
        </w:rPr>
        <w:t>jeśli na uczelni kształcą się studenci poruszający się na wózkach inwalidzkich</w:t>
      </w:r>
      <w:r w:rsidRPr="00DC7A99">
        <w:rPr>
          <w:color w:val="0070C0"/>
        </w:rPr>
        <w:t>, możliwy będzie zakup specjalistycznych wózków przeznaczonych do udziału w zajęciach sportowych.</w:t>
      </w:r>
    </w:p>
    <w:p w14:paraId="17CA33A6" w14:textId="77777777" w:rsidR="00B47536" w:rsidRPr="00DC7A99" w:rsidRDefault="00B47536" w:rsidP="007F4488">
      <w:pPr>
        <w:pStyle w:val="Akapitzlist"/>
        <w:ind w:left="0"/>
        <w:jc w:val="both"/>
        <w:rPr>
          <w:color w:val="0070C0"/>
        </w:rPr>
      </w:pPr>
      <w:r w:rsidRPr="00DC7A99">
        <w:rPr>
          <w:bCs/>
          <w:color w:val="0070C0"/>
        </w:rPr>
        <w:t>Wszystkie planowane działania i zakupy muszą bezpośrednio służyć zwiększeniu dostępności dla osób ze specjalnymi potrzebami edukacyjnymi (SPE), wskazanych w Diagnozie potrzeb.</w:t>
      </w:r>
      <w:r w:rsidRPr="00DC7A99">
        <w:rPr>
          <w:color w:val="0070C0"/>
        </w:rPr>
        <w:br/>
        <w:t xml:space="preserve">Dotyczy to również zakupu sprzętu, który </w:t>
      </w:r>
      <w:r w:rsidRPr="00DC7A99">
        <w:rPr>
          <w:bCs/>
          <w:color w:val="0070C0"/>
        </w:rPr>
        <w:t>musi być przeznaczony wyłącznie dla tej grupy odbiorców</w:t>
      </w:r>
      <w:r w:rsidRPr="00DC7A99">
        <w:rPr>
          <w:color w:val="0070C0"/>
        </w:rPr>
        <w:t>.</w:t>
      </w:r>
    </w:p>
    <w:p w14:paraId="4398E5CF" w14:textId="77777777" w:rsidR="00B47536" w:rsidRDefault="00B47536" w:rsidP="00337179">
      <w:pPr>
        <w:pStyle w:val="Akapitzlist"/>
        <w:ind w:left="426"/>
      </w:pPr>
    </w:p>
    <w:p w14:paraId="5BB5168E" w14:textId="1DFA2E30" w:rsidR="00AF1C5B" w:rsidRDefault="00AF1C5B" w:rsidP="007F4488">
      <w:pPr>
        <w:pStyle w:val="Akapitzlist"/>
        <w:numPr>
          <w:ilvl w:val="0"/>
          <w:numId w:val="1"/>
        </w:numPr>
        <w:ind w:left="0"/>
        <w:rPr>
          <w:b/>
        </w:rPr>
      </w:pPr>
      <w:r w:rsidRPr="00AF1C5B">
        <w:rPr>
          <w:b/>
        </w:rPr>
        <w:t xml:space="preserve">Pytanie </w:t>
      </w:r>
    </w:p>
    <w:p w14:paraId="4D2F360E" w14:textId="77777777" w:rsidR="00383C30" w:rsidRDefault="00383C30" w:rsidP="007F4488">
      <w:pPr>
        <w:pStyle w:val="Akapitzlist"/>
        <w:ind w:left="0"/>
        <w:jc w:val="both"/>
      </w:pPr>
      <w:r>
        <w:t>Z otrzymanych odpowiedzi rozumiemy, że działania zaplanowane w projekcie muszą wynikać z diagnozy i analizy potrzeb, co jest dla nas jak najbardziej zrozumiałe. Pojawiły się jednak wątpliwości dotyczące zapisu, zgodnie z którym budynki, w których planowane są np. dostosowania łazienek do</w:t>
      </w:r>
      <w:r w:rsidR="007F4488">
        <w:t> </w:t>
      </w:r>
      <w:r>
        <w:t>potrzeb osób z niepełnosprawnościami, muszą być w całości dostępne dla tych osób.</w:t>
      </w:r>
    </w:p>
    <w:p w14:paraId="27398337" w14:textId="77777777" w:rsidR="00383C30" w:rsidRDefault="00383C30" w:rsidP="007F4488">
      <w:pPr>
        <w:pStyle w:val="Akapitzlist"/>
        <w:ind w:left="0"/>
        <w:jc w:val="both"/>
      </w:pPr>
      <w:r>
        <w:t>Zgodnie z kryterium 29 „Infrastruktura zgodna z Modelem Dostępnej Szkoły”, punkty przyznawane są</w:t>
      </w:r>
      <w:r w:rsidR="007F4488">
        <w:t> </w:t>
      </w:r>
      <w:r>
        <w:t>m.in. za działania dotyczące:</w:t>
      </w:r>
    </w:p>
    <w:p w14:paraId="646B9D6F" w14:textId="77777777" w:rsidR="00383C30" w:rsidRDefault="00383C30" w:rsidP="00B549C1">
      <w:pPr>
        <w:pStyle w:val="Akapitzlist"/>
        <w:numPr>
          <w:ilvl w:val="0"/>
          <w:numId w:val="27"/>
        </w:numPr>
        <w:ind w:left="426" w:hanging="284"/>
      </w:pPr>
      <w:r>
        <w:t>dostępności wejścia do budynku,</w:t>
      </w:r>
    </w:p>
    <w:p w14:paraId="0F839DF8" w14:textId="77777777" w:rsidR="00383C30" w:rsidRDefault="00383C30" w:rsidP="00B549C1">
      <w:pPr>
        <w:pStyle w:val="Akapitzlist"/>
        <w:numPr>
          <w:ilvl w:val="0"/>
          <w:numId w:val="27"/>
        </w:numPr>
        <w:ind w:left="426" w:hanging="284"/>
      </w:pPr>
      <w:r>
        <w:t>komunikacji pionowej i poziomej,</w:t>
      </w:r>
    </w:p>
    <w:p w14:paraId="474FE31F" w14:textId="77777777" w:rsidR="00383C30" w:rsidRDefault="00383C30" w:rsidP="00B549C1">
      <w:pPr>
        <w:pStyle w:val="Akapitzlist"/>
        <w:numPr>
          <w:ilvl w:val="0"/>
          <w:numId w:val="27"/>
        </w:numPr>
        <w:ind w:left="426" w:hanging="284"/>
      </w:pPr>
      <w:r>
        <w:t>dostępności pomieszczeń,</w:t>
      </w:r>
    </w:p>
    <w:p w14:paraId="5EC906A9" w14:textId="77777777" w:rsidR="00383C30" w:rsidRDefault="00383C30" w:rsidP="00B549C1">
      <w:pPr>
        <w:pStyle w:val="Akapitzlist"/>
        <w:numPr>
          <w:ilvl w:val="0"/>
          <w:numId w:val="27"/>
        </w:numPr>
        <w:ind w:left="426" w:hanging="284"/>
      </w:pPr>
      <w:r>
        <w:t>oraz obiektów sportowych.</w:t>
      </w:r>
    </w:p>
    <w:p w14:paraId="61115889" w14:textId="77777777" w:rsidR="00383C30" w:rsidRDefault="00383C30" w:rsidP="007F4488">
      <w:pPr>
        <w:pStyle w:val="Akapitzlist"/>
        <w:ind w:left="0"/>
        <w:jc w:val="both"/>
      </w:pPr>
      <w:r>
        <w:t>W związku z tym chcielibyśmy potwierdzić, czy jeśli budynek w chwili obecnej nie jest dostępny dla osób z niepełnosprawnościami (brakuje np. podjazdu lub windy), to możliwe jest uwzględnienie go w projekcie, pod warunkiem że zostaną w nim zrealizowane działania przywracające dostępność takie jak budowa podjazdu lub montaż platformy schodowej, a następnie np. dostosowanie łazienki.</w:t>
      </w:r>
    </w:p>
    <w:p w14:paraId="717E631F" w14:textId="77777777" w:rsidR="00383C30" w:rsidRDefault="00383C30" w:rsidP="007F4488">
      <w:pPr>
        <w:pStyle w:val="Akapitzlist"/>
        <w:ind w:left="0"/>
        <w:jc w:val="both"/>
      </w:pPr>
      <w:r>
        <w:t>Rozumiemy, że oba te elementy zarówno zapewnienie dostępności komunikacyjnej, jak i dostosowanie pomieszczeń sanitarnych będą kosztami kwalifikowalnymi, o ile wynikają z diagnozy i są spójne z celami projektu.</w:t>
      </w:r>
    </w:p>
    <w:p w14:paraId="18AD96EC" w14:textId="77777777" w:rsidR="00383C30" w:rsidRDefault="00383C30" w:rsidP="007F4488">
      <w:pPr>
        <w:pStyle w:val="Akapitzlist"/>
        <w:ind w:left="0"/>
        <w:jc w:val="both"/>
      </w:pPr>
      <w:r>
        <w:t>Czy zatem obecna „niedostępność” budynku nie wyklucza go z możliwości uwzględnienia w projekcie, pod warunkiem że zaplanowane działania doprowadzą do pełnej dostępności dla osób z niepełnosprawnościami, a dopiero w kolejnym kroku realizowane będą działania podnoszące komfort edukacyjny (np. wyposażenie, adaptacja pomieszczeń)?</w:t>
      </w:r>
    </w:p>
    <w:p w14:paraId="56839C8C" w14:textId="77777777" w:rsidR="00383C30" w:rsidRDefault="00383C30" w:rsidP="007F4488">
      <w:pPr>
        <w:pStyle w:val="Akapitzlist"/>
        <w:ind w:left="0"/>
        <w:jc w:val="both"/>
      </w:pPr>
      <w:r>
        <w:t>Z naszej interpretacji wynika również, że kryterium 29 premiuje kompleksowe podejście do zapewnienia dostępności w szczególności na podstawowym poziomie: dostępność wejścia, komunikacja pozioma i pionowa, dostępność pomieszczeń. Czy dobrze rozumiemy intencję zapisów?</w:t>
      </w:r>
    </w:p>
    <w:p w14:paraId="12198546" w14:textId="77777777" w:rsidR="007F4488" w:rsidRDefault="00337179" w:rsidP="007F4488">
      <w:pPr>
        <w:rPr>
          <w:b/>
          <w:u w:val="single"/>
        </w:rPr>
      </w:pPr>
      <w:r w:rsidRPr="00383C30">
        <w:rPr>
          <w:b/>
          <w:u w:val="single"/>
        </w:rPr>
        <w:t>Odpowiedz:</w:t>
      </w:r>
    </w:p>
    <w:p w14:paraId="781A7CCF" w14:textId="77777777" w:rsidR="007F4488" w:rsidRPr="00DC7A99" w:rsidRDefault="007F4488" w:rsidP="007F4488">
      <w:pPr>
        <w:jc w:val="both"/>
        <w:rPr>
          <w:rFonts w:eastAsia="Times New Roman" w:cstheme="minorHAnsi"/>
          <w:bCs/>
          <w:color w:val="0070C0"/>
          <w:lang w:eastAsia="pl-PL"/>
        </w:rPr>
      </w:pPr>
      <w:r w:rsidRPr="00DC7A99">
        <w:rPr>
          <w:rFonts w:eastAsia="Times New Roman" w:cstheme="minorHAnsi"/>
          <w:bCs/>
          <w:color w:val="0070C0"/>
          <w:lang w:eastAsia="pl-PL"/>
        </w:rPr>
        <w:t xml:space="preserve">W przypadku, gdy budynek nie jest dostępny dla osób z niepełnosprawnościami, niezasadne jest kwalifikowanie wydatków związanych wyłącznie z dostosowaniem łazienek z uwagi na brak możliwości swobodnego dostania się do tych pomieszczeń przez osoby z ograniczoną mobilnością. </w:t>
      </w:r>
    </w:p>
    <w:p w14:paraId="2B32FBC0" w14:textId="77777777" w:rsidR="007F4488" w:rsidRPr="00DC7A99" w:rsidRDefault="007F4488" w:rsidP="007F4488">
      <w:pPr>
        <w:jc w:val="both"/>
        <w:rPr>
          <w:b/>
          <w:color w:val="0070C0"/>
          <w:u w:val="single"/>
        </w:rPr>
      </w:pPr>
      <w:r w:rsidRPr="00DC7A99">
        <w:rPr>
          <w:rFonts w:eastAsia="Times New Roman" w:cstheme="minorHAnsi"/>
          <w:color w:val="0070C0"/>
          <w:lang w:eastAsia="pl-PL"/>
        </w:rPr>
        <w:lastRenderedPageBreak/>
        <w:t xml:space="preserve">W związku z powyższym, </w:t>
      </w:r>
      <w:r w:rsidRPr="00DC7A99">
        <w:rPr>
          <w:rFonts w:eastAsia="Times New Roman" w:cstheme="minorHAnsi"/>
          <w:bCs/>
          <w:color w:val="0070C0"/>
          <w:lang w:eastAsia="pl-PL"/>
        </w:rPr>
        <w:t>w pierwszej kolejności (lub równolegle) konieczne jest zapewnienie dostępności do budynku jako całości</w:t>
      </w:r>
      <w:r w:rsidRPr="00DC7A99">
        <w:rPr>
          <w:rFonts w:eastAsia="Times New Roman" w:cstheme="minorHAnsi"/>
          <w:color w:val="0070C0"/>
          <w:lang w:eastAsia="pl-PL"/>
        </w:rPr>
        <w:t>, poprzez realizację odpowiednich rozwiązań architektonicznych (np. podjazdów, wind, platform schodowych). Dopiero po zapewnieniu ciągłości dostępności komunikacyjnej możliwe jest uwzględnienie w projekcie działań dotyczących adaptacji sanitariatów.</w:t>
      </w:r>
    </w:p>
    <w:p w14:paraId="5DF0B39D" w14:textId="77777777" w:rsidR="007F4488" w:rsidRPr="00DC7A99" w:rsidRDefault="007F4488" w:rsidP="007F4488">
      <w:pPr>
        <w:jc w:val="both"/>
        <w:rPr>
          <w:b/>
          <w:color w:val="0070C0"/>
          <w:u w:val="single"/>
        </w:rPr>
      </w:pPr>
      <w:r w:rsidRPr="00DC7A99">
        <w:rPr>
          <w:rFonts w:eastAsia="Times New Roman" w:cstheme="minorHAnsi"/>
          <w:bCs/>
          <w:color w:val="0070C0"/>
          <w:lang w:eastAsia="pl-PL"/>
        </w:rPr>
        <w:t>Zarówno działania związane z udostępnieniem budynku, jak i dostosowaniem łazienek mogą zostać uznane za koszty kwalifikowalne</w:t>
      </w:r>
      <w:r w:rsidRPr="00DC7A99">
        <w:rPr>
          <w:rFonts w:eastAsia="Times New Roman" w:cstheme="minorHAnsi"/>
          <w:color w:val="0070C0"/>
          <w:lang w:eastAsia="pl-PL"/>
        </w:rPr>
        <w:t>, pod warunkiem że:</w:t>
      </w:r>
    </w:p>
    <w:p w14:paraId="76277715" w14:textId="77777777" w:rsidR="007F4488" w:rsidRPr="00DC7A99" w:rsidRDefault="007F4488" w:rsidP="007F4488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0070C0"/>
          <w:lang w:eastAsia="pl-PL"/>
        </w:rPr>
      </w:pPr>
      <w:r w:rsidRPr="00DC7A99">
        <w:rPr>
          <w:rFonts w:eastAsia="Times New Roman" w:cstheme="minorHAnsi"/>
          <w:color w:val="0070C0"/>
          <w:lang w:eastAsia="pl-PL"/>
        </w:rPr>
        <w:t>wynikają bezpośrednio z przeprowadzonej diagnozy potrzeb osób ze specjalnymi potrzebami edukacyjnymi (SPE),</w:t>
      </w:r>
    </w:p>
    <w:p w14:paraId="631053CB" w14:textId="77777777" w:rsidR="007F4488" w:rsidRPr="00DC7A99" w:rsidRDefault="007F4488" w:rsidP="007F4488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ind w:left="426"/>
        <w:jc w:val="both"/>
        <w:rPr>
          <w:rFonts w:eastAsia="Times New Roman" w:cstheme="minorHAnsi"/>
          <w:color w:val="0070C0"/>
          <w:lang w:eastAsia="pl-PL"/>
        </w:rPr>
      </w:pPr>
      <w:r w:rsidRPr="00DC7A99">
        <w:rPr>
          <w:rFonts w:eastAsia="Times New Roman" w:cstheme="minorHAnsi"/>
          <w:color w:val="0070C0"/>
          <w:lang w:eastAsia="pl-PL"/>
        </w:rPr>
        <w:t xml:space="preserve">w budynku objętym projektem </w:t>
      </w:r>
      <w:r w:rsidRPr="00DC7A99">
        <w:rPr>
          <w:rFonts w:eastAsia="Times New Roman" w:cstheme="minorHAnsi"/>
          <w:bCs/>
          <w:color w:val="0070C0"/>
          <w:lang w:eastAsia="pl-PL"/>
        </w:rPr>
        <w:t>faktycznie prowadzone są zajęcia z udziałem osób z niepełnosprawnościami</w:t>
      </w:r>
      <w:r w:rsidRPr="00DC7A99">
        <w:rPr>
          <w:rFonts w:eastAsia="Times New Roman" w:cstheme="minorHAnsi"/>
          <w:color w:val="0070C0"/>
          <w:lang w:eastAsia="pl-PL"/>
        </w:rPr>
        <w:t>, co zostało odpowiednio wykazane w dokumentacji projektowej.</w:t>
      </w:r>
    </w:p>
    <w:p w14:paraId="520E3514" w14:textId="77777777" w:rsidR="002A64DA" w:rsidRPr="00DC7A99" w:rsidRDefault="002A64DA" w:rsidP="002A64DA">
      <w:pPr>
        <w:pStyle w:val="Akapitzlist"/>
        <w:ind w:left="426"/>
        <w:jc w:val="both"/>
        <w:rPr>
          <w:color w:val="00B050"/>
        </w:rPr>
      </w:pPr>
    </w:p>
    <w:p w14:paraId="2EEA0C76" w14:textId="77777777" w:rsidR="00DC7A99" w:rsidRPr="00DC7A99" w:rsidRDefault="00DC7A99" w:rsidP="00DC7A99">
      <w:pPr>
        <w:pStyle w:val="Akapitzlist"/>
        <w:ind w:left="0"/>
        <w:jc w:val="both"/>
        <w:rPr>
          <w:i/>
          <w:color w:val="00B050"/>
          <w:u w:val="single"/>
        </w:rPr>
      </w:pPr>
      <w:r w:rsidRPr="00DC7A99">
        <w:rPr>
          <w:i/>
          <w:color w:val="00B050"/>
          <w:u w:val="single"/>
        </w:rPr>
        <w:t>Ostatecznej oceny kwalifikowalności wydatków dokona Komisja Oceny Projektów po złożeniu przez Wnioskodawcę kompletnej dokumentacji w odpowiedzi na ogłoszony nabór.</w:t>
      </w:r>
    </w:p>
    <w:p w14:paraId="0617116B" w14:textId="77777777" w:rsidR="001573E6" w:rsidRPr="00DC7A99" w:rsidRDefault="001573E6" w:rsidP="002A64DA">
      <w:pPr>
        <w:pStyle w:val="Akapitzlist"/>
        <w:ind w:left="426"/>
        <w:rPr>
          <w:color w:val="00B050"/>
        </w:rPr>
      </w:pPr>
    </w:p>
    <w:sectPr w:rsidR="001573E6" w:rsidRPr="00DC7A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D2C4F" w14:textId="77777777" w:rsidR="00E72C28" w:rsidRDefault="00E72C28" w:rsidP="00706A2F">
      <w:pPr>
        <w:spacing w:after="0" w:line="240" w:lineRule="auto"/>
      </w:pPr>
      <w:r>
        <w:separator/>
      </w:r>
    </w:p>
  </w:endnote>
  <w:endnote w:type="continuationSeparator" w:id="0">
    <w:p w14:paraId="48FA36E4" w14:textId="77777777" w:rsidR="00E72C28" w:rsidRDefault="00E72C28" w:rsidP="0070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95832761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5B674B6" w14:textId="21F38975" w:rsidR="00706A2F" w:rsidRPr="00706A2F" w:rsidRDefault="00706A2F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706A2F">
          <w:rPr>
            <w:rFonts w:eastAsiaTheme="majorEastAsia" w:cstheme="minorHAnsi"/>
            <w:sz w:val="20"/>
            <w:szCs w:val="20"/>
          </w:rPr>
          <w:t xml:space="preserve">str. </w:t>
        </w:r>
        <w:r w:rsidRPr="00706A2F">
          <w:rPr>
            <w:rFonts w:eastAsiaTheme="minorEastAsia" w:cstheme="minorHAnsi"/>
            <w:sz w:val="20"/>
            <w:szCs w:val="20"/>
          </w:rPr>
          <w:fldChar w:fldCharType="begin"/>
        </w:r>
        <w:r w:rsidRPr="00706A2F">
          <w:rPr>
            <w:rFonts w:cstheme="minorHAnsi"/>
            <w:sz w:val="20"/>
            <w:szCs w:val="20"/>
          </w:rPr>
          <w:instrText>PAGE    \* MERGEFORMAT</w:instrText>
        </w:r>
        <w:r w:rsidRPr="00706A2F">
          <w:rPr>
            <w:rFonts w:eastAsiaTheme="minorEastAsia" w:cstheme="minorHAnsi"/>
            <w:sz w:val="20"/>
            <w:szCs w:val="20"/>
          </w:rPr>
          <w:fldChar w:fldCharType="separate"/>
        </w:r>
        <w:r w:rsidR="003F6C49" w:rsidRPr="003F6C49">
          <w:rPr>
            <w:rFonts w:eastAsiaTheme="majorEastAsia" w:cstheme="minorHAnsi"/>
            <w:noProof/>
            <w:sz w:val="20"/>
            <w:szCs w:val="20"/>
          </w:rPr>
          <w:t>7</w:t>
        </w:r>
        <w:r w:rsidRPr="00706A2F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53A84C33" w14:textId="77777777" w:rsidR="00706A2F" w:rsidRDefault="00706A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53710" w14:textId="77777777" w:rsidR="00E72C28" w:rsidRDefault="00E72C28" w:rsidP="00706A2F">
      <w:pPr>
        <w:spacing w:after="0" w:line="240" w:lineRule="auto"/>
      </w:pPr>
      <w:r>
        <w:separator/>
      </w:r>
    </w:p>
  </w:footnote>
  <w:footnote w:type="continuationSeparator" w:id="0">
    <w:p w14:paraId="282DC825" w14:textId="77777777" w:rsidR="00E72C28" w:rsidRDefault="00E72C28" w:rsidP="00706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0FC6"/>
    <w:multiLevelType w:val="hybridMultilevel"/>
    <w:tmpl w:val="88D49598"/>
    <w:lvl w:ilvl="0" w:tplc="7BEC72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4682F"/>
    <w:multiLevelType w:val="hybridMultilevel"/>
    <w:tmpl w:val="518E21AA"/>
    <w:lvl w:ilvl="0" w:tplc="7BEC72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5B37C8"/>
    <w:multiLevelType w:val="hybridMultilevel"/>
    <w:tmpl w:val="4E86C72C"/>
    <w:lvl w:ilvl="0" w:tplc="7BEC720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AAC6629"/>
    <w:multiLevelType w:val="hybridMultilevel"/>
    <w:tmpl w:val="DBC007F2"/>
    <w:lvl w:ilvl="0" w:tplc="7BEC72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5675A1"/>
    <w:multiLevelType w:val="hybridMultilevel"/>
    <w:tmpl w:val="E9FE50A6"/>
    <w:lvl w:ilvl="0" w:tplc="7BEC72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A4409A"/>
    <w:multiLevelType w:val="multilevel"/>
    <w:tmpl w:val="3AD6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028D3"/>
    <w:multiLevelType w:val="hybridMultilevel"/>
    <w:tmpl w:val="BD94665C"/>
    <w:lvl w:ilvl="0" w:tplc="7BEC72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220C5E"/>
    <w:multiLevelType w:val="hybridMultilevel"/>
    <w:tmpl w:val="C73E3EF6"/>
    <w:lvl w:ilvl="0" w:tplc="C37E5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561D6"/>
    <w:multiLevelType w:val="hybridMultilevel"/>
    <w:tmpl w:val="2BA85634"/>
    <w:lvl w:ilvl="0" w:tplc="7BEC72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78597B"/>
    <w:multiLevelType w:val="multilevel"/>
    <w:tmpl w:val="33C4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7661A"/>
    <w:multiLevelType w:val="multilevel"/>
    <w:tmpl w:val="9322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115186"/>
    <w:multiLevelType w:val="multilevel"/>
    <w:tmpl w:val="706E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D20C59"/>
    <w:multiLevelType w:val="multilevel"/>
    <w:tmpl w:val="E4FA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A780E"/>
    <w:multiLevelType w:val="hybridMultilevel"/>
    <w:tmpl w:val="9ADA1914"/>
    <w:lvl w:ilvl="0" w:tplc="7BEC720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77550E6"/>
    <w:multiLevelType w:val="multilevel"/>
    <w:tmpl w:val="AD2A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9F16D2"/>
    <w:multiLevelType w:val="hybridMultilevel"/>
    <w:tmpl w:val="6CCA0FEA"/>
    <w:lvl w:ilvl="0" w:tplc="7BEC72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F87EC9"/>
    <w:multiLevelType w:val="multilevel"/>
    <w:tmpl w:val="7784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D94084"/>
    <w:multiLevelType w:val="hybridMultilevel"/>
    <w:tmpl w:val="A760B380"/>
    <w:lvl w:ilvl="0" w:tplc="7BEC7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919FC"/>
    <w:multiLevelType w:val="multilevel"/>
    <w:tmpl w:val="0B7A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B84619"/>
    <w:multiLevelType w:val="hybridMultilevel"/>
    <w:tmpl w:val="C96CBAC8"/>
    <w:lvl w:ilvl="0" w:tplc="7BEC72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CE626D"/>
    <w:multiLevelType w:val="multilevel"/>
    <w:tmpl w:val="6D56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7C1BA2"/>
    <w:multiLevelType w:val="hybridMultilevel"/>
    <w:tmpl w:val="A2ECD382"/>
    <w:lvl w:ilvl="0" w:tplc="7BEC7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334DB"/>
    <w:multiLevelType w:val="multilevel"/>
    <w:tmpl w:val="C846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3C49BA"/>
    <w:multiLevelType w:val="hybridMultilevel"/>
    <w:tmpl w:val="5CD491B0"/>
    <w:lvl w:ilvl="0" w:tplc="7BEC72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CE6E38"/>
    <w:multiLevelType w:val="multilevel"/>
    <w:tmpl w:val="43F4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35FCB"/>
    <w:multiLevelType w:val="multilevel"/>
    <w:tmpl w:val="5198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ED0FDA"/>
    <w:multiLevelType w:val="multilevel"/>
    <w:tmpl w:val="BB04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58625C"/>
    <w:multiLevelType w:val="hybridMultilevel"/>
    <w:tmpl w:val="678C0192"/>
    <w:lvl w:ilvl="0" w:tplc="7BEC72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CE700E"/>
    <w:multiLevelType w:val="hybridMultilevel"/>
    <w:tmpl w:val="5682284A"/>
    <w:lvl w:ilvl="0" w:tplc="7BEC72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D01C7B"/>
    <w:multiLevelType w:val="multilevel"/>
    <w:tmpl w:val="A27E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22"/>
  </w:num>
  <w:num w:numId="7">
    <w:abstractNumId w:val="25"/>
  </w:num>
  <w:num w:numId="8">
    <w:abstractNumId w:val="9"/>
  </w:num>
  <w:num w:numId="9">
    <w:abstractNumId w:val="3"/>
  </w:num>
  <w:num w:numId="10">
    <w:abstractNumId w:val="28"/>
  </w:num>
  <w:num w:numId="11">
    <w:abstractNumId w:val="15"/>
  </w:num>
  <w:num w:numId="12">
    <w:abstractNumId w:val="26"/>
  </w:num>
  <w:num w:numId="13">
    <w:abstractNumId w:val="14"/>
  </w:num>
  <w:num w:numId="14">
    <w:abstractNumId w:val="21"/>
  </w:num>
  <w:num w:numId="15">
    <w:abstractNumId w:val="8"/>
  </w:num>
  <w:num w:numId="16">
    <w:abstractNumId w:val="18"/>
  </w:num>
  <w:num w:numId="17">
    <w:abstractNumId w:val="10"/>
  </w:num>
  <w:num w:numId="18">
    <w:abstractNumId w:val="1"/>
  </w:num>
  <w:num w:numId="19">
    <w:abstractNumId w:val="19"/>
  </w:num>
  <w:num w:numId="20">
    <w:abstractNumId w:val="16"/>
  </w:num>
  <w:num w:numId="21">
    <w:abstractNumId w:val="29"/>
  </w:num>
  <w:num w:numId="22">
    <w:abstractNumId w:val="23"/>
  </w:num>
  <w:num w:numId="23">
    <w:abstractNumId w:val="27"/>
  </w:num>
  <w:num w:numId="24">
    <w:abstractNumId w:val="12"/>
  </w:num>
  <w:num w:numId="25">
    <w:abstractNumId w:val="24"/>
  </w:num>
  <w:num w:numId="26">
    <w:abstractNumId w:val="6"/>
  </w:num>
  <w:num w:numId="27">
    <w:abstractNumId w:val="13"/>
  </w:num>
  <w:num w:numId="28">
    <w:abstractNumId w:val="20"/>
  </w:num>
  <w:num w:numId="29">
    <w:abstractNumId w:val="1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E6"/>
    <w:rsid w:val="00061296"/>
    <w:rsid w:val="0012139B"/>
    <w:rsid w:val="001469AB"/>
    <w:rsid w:val="001573E6"/>
    <w:rsid w:val="00207744"/>
    <w:rsid w:val="002141C8"/>
    <w:rsid w:val="002A454C"/>
    <w:rsid w:val="002A64DA"/>
    <w:rsid w:val="002F7EA9"/>
    <w:rsid w:val="00337179"/>
    <w:rsid w:val="00383C30"/>
    <w:rsid w:val="003F6C49"/>
    <w:rsid w:val="00413B72"/>
    <w:rsid w:val="00467BAE"/>
    <w:rsid w:val="00474071"/>
    <w:rsid w:val="004A620F"/>
    <w:rsid w:val="004E4812"/>
    <w:rsid w:val="006A7B6D"/>
    <w:rsid w:val="006D1C66"/>
    <w:rsid w:val="00706A2F"/>
    <w:rsid w:val="007F4488"/>
    <w:rsid w:val="00A57AA1"/>
    <w:rsid w:val="00A70520"/>
    <w:rsid w:val="00AA7A2F"/>
    <w:rsid w:val="00AC51C5"/>
    <w:rsid w:val="00AF1C5B"/>
    <w:rsid w:val="00B47536"/>
    <w:rsid w:val="00B47738"/>
    <w:rsid w:val="00B549C1"/>
    <w:rsid w:val="00BF1DC9"/>
    <w:rsid w:val="00C26B11"/>
    <w:rsid w:val="00C45E24"/>
    <w:rsid w:val="00C53C08"/>
    <w:rsid w:val="00C72080"/>
    <w:rsid w:val="00CA0453"/>
    <w:rsid w:val="00CA4008"/>
    <w:rsid w:val="00CA547D"/>
    <w:rsid w:val="00D54A64"/>
    <w:rsid w:val="00DA60C0"/>
    <w:rsid w:val="00DC7A99"/>
    <w:rsid w:val="00E42F41"/>
    <w:rsid w:val="00E545ED"/>
    <w:rsid w:val="00E602D6"/>
    <w:rsid w:val="00E72C28"/>
    <w:rsid w:val="00EF2F58"/>
    <w:rsid w:val="00F37C12"/>
    <w:rsid w:val="00FB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C72D"/>
  <w15:chartTrackingRefBased/>
  <w15:docId w15:val="{84F39010-B81E-48AF-8C89-7FDD5D7B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3E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E4812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F2F5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A2F"/>
  </w:style>
  <w:style w:type="paragraph" w:styleId="Stopka">
    <w:name w:val="footer"/>
    <w:basedOn w:val="Normalny"/>
    <w:link w:val="StopkaZnak"/>
    <w:uiPriority w:val="99"/>
    <w:unhideWhenUsed/>
    <w:rsid w:val="0070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A2F"/>
  </w:style>
  <w:style w:type="character" w:styleId="Pogrubienie">
    <w:name w:val="Strong"/>
    <w:basedOn w:val="Domylnaczcionkaakapitu"/>
    <w:uiPriority w:val="22"/>
    <w:qFormat/>
    <w:rsid w:val="00337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3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europejskie.warmia.mazury.pl/nabor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unduszeeuropejskie.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2754</Words>
  <Characters>16528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Banach</dc:creator>
  <cp:keywords/>
  <dc:description/>
  <cp:lastModifiedBy>Sylwia Banach</cp:lastModifiedBy>
  <cp:revision>4</cp:revision>
  <dcterms:created xsi:type="dcterms:W3CDTF">2025-08-07T11:06:00Z</dcterms:created>
  <dcterms:modified xsi:type="dcterms:W3CDTF">2025-08-07T11:09:00Z</dcterms:modified>
</cp:coreProperties>
</file>