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E8364" w14:textId="347191D3" w:rsidR="00BC4EE3" w:rsidRPr="004B7CC8" w:rsidRDefault="00BC4EE3" w:rsidP="004B7CC8">
      <w:pPr>
        <w:pStyle w:val="Akapitzlist"/>
        <w:numPr>
          <w:ilvl w:val="0"/>
          <w:numId w:val="1"/>
        </w:numPr>
        <w:rPr>
          <w:sz w:val="22"/>
          <w:szCs w:val="22"/>
          <w:lang w:eastAsia="en-US"/>
        </w:rPr>
      </w:pPr>
      <w:bookmarkStart w:id="0" w:name="_Hlk181970946"/>
      <w:bookmarkStart w:id="1" w:name="_Hlk181971758"/>
      <w:r w:rsidRPr="004B7CC8">
        <w:rPr>
          <w:sz w:val="22"/>
          <w:szCs w:val="22"/>
          <w:lang w:eastAsia="en-US"/>
        </w:rPr>
        <w:t>W ramach usług minimum są m.in. usługi księgowe czy dopuszczalna jest refundacja tych kosztów – chodzi o to czy będziemy mogli firmie inkubowanej zrefundować koszty usługi księgowej (przypuszczalnie w projekcie założymy, na podstawie rozeznania rynku, że koszt na usługi księgowe dla jednoosobowej działalności to będzie max. 200 zł/mies., a dla spółki 400 zł/mies. i do tej kwoty maksymalnej refundujemy)? Na podstawie doświadczenia, które posiadamy realizacja tej usługi w poprzedniej perspektywie była jedną z bardziej problematycznych.</w:t>
      </w:r>
    </w:p>
    <w:p w14:paraId="2AED53B9" w14:textId="77777777" w:rsidR="00781120" w:rsidRPr="0042312F" w:rsidRDefault="00BC4EE3" w:rsidP="0042312F">
      <w:pPr>
        <w:pStyle w:val="Akapitzlist"/>
        <w:rPr>
          <w:sz w:val="22"/>
          <w:szCs w:val="22"/>
          <w:lang w:eastAsia="en-US"/>
        </w:rPr>
      </w:pPr>
      <w:r w:rsidRPr="0042312F">
        <w:rPr>
          <w:b/>
          <w:bCs/>
          <w:sz w:val="22"/>
          <w:szCs w:val="22"/>
          <w:lang w:eastAsia="en-US"/>
        </w:rPr>
        <w:t>Odpowiedź:</w:t>
      </w:r>
      <w:r w:rsidRPr="0042312F">
        <w:rPr>
          <w:sz w:val="22"/>
          <w:szCs w:val="22"/>
          <w:lang w:eastAsia="en-US"/>
        </w:rPr>
        <w:t xml:space="preserve"> </w:t>
      </w:r>
    </w:p>
    <w:p w14:paraId="58C798FB" w14:textId="668F84FA" w:rsidR="00BC4EE3" w:rsidRPr="0042312F" w:rsidRDefault="00BC4EE3" w:rsidP="0042312F">
      <w:pPr>
        <w:pStyle w:val="Akapitzlist"/>
        <w:spacing w:after="120"/>
        <w:rPr>
          <w:sz w:val="22"/>
          <w:szCs w:val="22"/>
          <w:lang w:eastAsia="en-US"/>
        </w:rPr>
      </w:pPr>
      <w:r w:rsidRPr="0042312F">
        <w:rPr>
          <w:sz w:val="22"/>
          <w:szCs w:val="22"/>
          <w:lang w:eastAsia="en-US"/>
        </w:rPr>
        <w:t>W ramach projektu kwalifikowalne będą koszty wynagrodzenia własnej kadry – w przypadku realizacji usług przez pracowników Beneficjenta lub koszty zatrudnienia eksperta zewnętrznego. Nie jest możliwa refundacja przez Beneficjenta kosztów, które ponosi inkubowany przedsiębiorca.</w:t>
      </w:r>
    </w:p>
    <w:p w14:paraId="6173618D" w14:textId="33E20933" w:rsidR="00BC4EE3" w:rsidRPr="0042312F" w:rsidRDefault="00BC4EE3" w:rsidP="0042312F">
      <w:pPr>
        <w:pStyle w:val="Akapitzlist"/>
        <w:numPr>
          <w:ilvl w:val="0"/>
          <w:numId w:val="1"/>
        </w:numPr>
        <w:rPr>
          <w:sz w:val="22"/>
          <w:szCs w:val="22"/>
          <w:lang w:eastAsia="en-US"/>
        </w:rPr>
      </w:pPr>
      <w:r w:rsidRPr="0042312F">
        <w:rPr>
          <w:sz w:val="22"/>
          <w:szCs w:val="22"/>
          <w:lang w:eastAsia="en-US"/>
        </w:rPr>
        <w:t>Czy stawka określona w naszym Cenniku usług wirtualnego biura może być wskazana do wyliczenia kosztów tej usługi?</w:t>
      </w:r>
    </w:p>
    <w:p w14:paraId="18983495" w14:textId="77777777" w:rsidR="00781120" w:rsidRPr="0042312F" w:rsidRDefault="00BC4EE3" w:rsidP="0042312F">
      <w:pPr>
        <w:pStyle w:val="Akapitzlist"/>
        <w:rPr>
          <w:sz w:val="22"/>
          <w:szCs w:val="22"/>
          <w:lang w:eastAsia="en-US"/>
        </w:rPr>
      </w:pPr>
      <w:r w:rsidRPr="0042312F">
        <w:rPr>
          <w:b/>
          <w:bCs/>
          <w:sz w:val="22"/>
          <w:szCs w:val="22"/>
          <w:lang w:eastAsia="en-US"/>
        </w:rPr>
        <w:t>Odpowiedź:</w:t>
      </w:r>
      <w:r w:rsidRPr="0042312F">
        <w:rPr>
          <w:sz w:val="22"/>
          <w:szCs w:val="22"/>
          <w:lang w:eastAsia="en-US"/>
        </w:rPr>
        <w:t xml:space="preserve"> </w:t>
      </w:r>
    </w:p>
    <w:p w14:paraId="0187B91B" w14:textId="5219E12C" w:rsidR="00BC4EE3" w:rsidRPr="0042312F" w:rsidRDefault="00BC4EE3" w:rsidP="0042312F">
      <w:pPr>
        <w:pStyle w:val="Akapitzlist"/>
        <w:spacing w:after="120"/>
        <w:rPr>
          <w:sz w:val="22"/>
          <w:szCs w:val="22"/>
          <w:lang w:eastAsia="en-US"/>
        </w:rPr>
      </w:pPr>
      <w:r w:rsidRPr="0042312F">
        <w:rPr>
          <w:sz w:val="22"/>
          <w:szCs w:val="22"/>
          <w:lang w:eastAsia="en-US"/>
        </w:rPr>
        <w:t xml:space="preserve">Przygotowując budżet projektu, </w:t>
      </w:r>
      <w:r w:rsidR="009D2875" w:rsidRPr="0042312F">
        <w:rPr>
          <w:sz w:val="22"/>
          <w:szCs w:val="22"/>
          <w:lang w:eastAsia="en-US"/>
        </w:rPr>
        <w:t>wartość zadania</w:t>
      </w:r>
      <w:r w:rsidRPr="0042312F">
        <w:rPr>
          <w:sz w:val="22"/>
          <w:szCs w:val="22"/>
          <w:lang w:eastAsia="en-US"/>
        </w:rPr>
        <w:t xml:space="preserve"> może zostać określona na podstawie Państwa cennika, niemniej jednak racjonalność i wysokość zaplanowanych w projekcie kosztów na tę usługę</w:t>
      </w:r>
      <w:r w:rsidR="00C06B29" w:rsidRPr="0042312F">
        <w:rPr>
          <w:sz w:val="22"/>
          <w:szCs w:val="22"/>
          <w:lang w:eastAsia="en-US"/>
        </w:rPr>
        <w:t>,</w:t>
      </w:r>
      <w:r w:rsidRPr="0042312F">
        <w:rPr>
          <w:sz w:val="22"/>
          <w:szCs w:val="22"/>
          <w:lang w:eastAsia="en-US"/>
        </w:rPr>
        <w:t xml:space="preserve"> będą podlegały ocenie przez Komisję Oceny Projektów.</w:t>
      </w:r>
    </w:p>
    <w:p w14:paraId="22725057" w14:textId="0AB2AF27" w:rsidR="00BC4EE3" w:rsidRPr="0042312F" w:rsidRDefault="00BC4EE3" w:rsidP="0042312F">
      <w:pPr>
        <w:pStyle w:val="Akapitzlist"/>
        <w:numPr>
          <w:ilvl w:val="0"/>
          <w:numId w:val="1"/>
        </w:numPr>
        <w:rPr>
          <w:sz w:val="22"/>
          <w:szCs w:val="22"/>
          <w:lang w:eastAsia="en-US"/>
        </w:rPr>
      </w:pPr>
      <w:r w:rsidRPr="0042312F">
        <w:rPr>
          <w:sz w:val="22"/>
          <w:szCs w:val="22"/>
          <w:lang w:eastAsia="en-US"/>
        </w:rPr>
        <w:t>Czy kosztem bezpośrednim kwalifikowalnym będzie zatrudnienie specjalisty/doradcy, który przeprowadzi analizy/rozmowy z daną firmą inkubowaną, aby wybrać niezbędne usługi dla tej firmy inkubowanej?</w:t>
      </w:r>
    </w:p>
    <w:p w14:paraId="26788C34" w14:textId="77777777" w:rsidR="00781120" w:rsidRPr="0042312F" w:rsidRDefault="00BC4EE3" w:rsidP="0042312F">
      <w:pPr>
        <w:pStyle w:val="Akapitzlist"/>
        <w:rPr>
          <w:b/>
          <w:bCs/>
          <w:color w:val="FF0000"/>
          <w:sz w:val="22"/>
          <w:szCs w:val="22"/>
          <w:lang w:eastAsia="en-US"/>
        </w:rPr>
      </w:pPr>
      <w:r w:rsidRPr="0042312F">
        <w:rPr>
          <w:b/>
          <w:bCs/>
          <w:sz w:val="22"/>
          <w:szCs w:val="22"/>
          <w:lang w:eastAsia="en-US"/>
        </w:rPr>
        <w:t>Odpowiedź</w:t>
      </w:r>
      <w:r w:rsidRPr="0042312F">
        <w:rPr>
          <w:b/>
          <w:bCs/>
          <w:color w:val="FF0000"/>
          <w:sz w:val="22"/>
          <w:szCs w:val="22"/>
          <w:lang w:eastAsia="en-US"/>
        </w:rPr>
        <w:t xml:space="preserve">: </w:t>
      </w:r>
    </w:p>
    <w:p w14:paraId="03F61EF3" w14:textId="5FF1A2BA" w:rsidR="00BC4EE3" w:rsidRPr="0042312F" w:rsidRDefault="005B0066" w:rsidP="0042312F">
      <w:pPr>
        <w:pStyle w:val="Akapitzlist"/>
        <w:spacing w:after="120"/>
        <w:rPr>
          <w:sz w:val="22"/>
          <w:szCs w:val="22"/>
          <w:lang w:eastAsia="en-US"/>
        </w:rPr>
      </w:pPr>
      <w:r w:rsidRPr="0042312F">
        <w:rPr>
          <w:sz w:val="22"/>
          <w:szCs w:val="22"/>
          <w:lang w:eastAsia="en-US"/>
        </w:rPr>
        <w:t>Jeśli zatrudnienie specjalisty/doradcy, który przeprowadzi analizy/rozmowy z daną firmą inkubowaną będzie już elementem procesu inkubacji i</w:t>
      </w:r>
      <w:r w:rsidR="00757975" w:rsidRPr="0042312F">
        <w:rPr>
          <w:sz w:val="22"/>
          <w:szCs w:val="22"/>
          <w:lang w:eastAsia="en-US"/>
        </w:rPr>
        <w:t xml:space="preserve"> posiadacie Państwo w swojej ofercie </w:t>
      </w:r>
      <w:r w:rsidRPr="0042312F">
        <w:rPr>
          <w:sz w:val="22"/>
          <w:szCs w:val="22"/>
          <w:lang w:eastAsia="en-US"/>
        </w:rPr>
        <w:t>taką usługę,</w:t>
      </w:r>
      <w:r w:rsidR="00757975" w:rsidRPr="0042312F">
        <w:rPr>
          <w:sz w:val="22"/>
          <w:szCs w:val="22"/>
          <w:lang w:eastAsia="en-US"/>
        </w:rPr>
        <w:t xml:space="preserve"> to może ona stanowić koszt kwalifikowalny w projekcie.</w:t>
      </w:r>
    </w:p>
    <w:p w14:paraId="1680E596" w14:textId="2B257515" w:rsidR="00BC4EE3" w:rsidRPr="0042312F" w:rsidRDefault="00BC4EE3" w:rsidP="0042312F">
      <w:pPr>
        <w:pStyle w:val="Akapitzlist"/>
        <w:numPr>
          <w:ilvl w:val="0"/>
          <w:numId w:val="1"/>
        </w:numPr>
        <w:rPr>
          <w:sz w:val="22"/>
          <w:szCs w:val="22"/>
          <w:lang w:eastAsia="en-US"/>
        </w:rPr>
      </w:pPr>
      <w:r w:rsidRPr="0042312F">
        <w:rPr>
          <w:sz w:val="22"/>
          <w:szCs w:val="22"/>
          <w:lang w:eastAsia="en-US"/>
        </w:rPr>
        <w:t>Zgodnie z regulaminem przedsiębiorstwu zostanie udostępniona pow. biurowa lub usługa wirtualnego biura i minimum 2-ch usług towarzyszących – czy jest gdzieś określona maksymalna liczba usług lub kwota na przedsiębiorstwo?</w:t>
      </w:r>
    </w:p>
    <w:p w14:paraId="26AF7DE3" w14:textId="77777777" w:rsidR="00781120" w:rsidRPr="0042312F" w:rsidRDefault="00757975" w:rsidP="0042312F">
      <w:pPr>
        <w:pStyle w:val="Akapitzlist"/>
        <w:rPr>
          <w:sz w:val="22"/>
          <w:szCs w:val="22"/>
          <w:lang w:eastAsia="en-US"/>
        </w:rPr>
      </w:pPr>
      <w:r w:rsidRPr="0042312F">
        <w:rPr>
          <w:b/>
          <w:bCs/>
          <w:sz w:val="22"/>
          <w:szCs w:val="22"/>
          <w:lang w:eastAsia="en-US"/>
        </w:rPr>
        <w:t>Odpowiedź:</w:t>
      </w:r>
      <w:r w:rsidRPr="0042312F">
        <w:rPr>
          <w:sz w:val="22"/>
          <w:szCs w:val="22"/>
          <w:lang w:eastAsia="en-US"/>
        </w:rPr>
        <w:t xml:space="preserve"> </w:t>
      </w:r>
    </w:p>
    <w:p w14:paraId="57096545" w14:textId="6E53EB45" w:rsidR="00757975" w:rsidRPr="0042312F" w:rsidRDefault="00F45787" w:rsidP="0042312F">
      <w:pPr>
        <w:pStyle w:val="Akapitzlist"/>
        <w:rPr>
          <w:sz w:val="22"/>
          <w:szCs w:val="22"/>
          <w:lang w:eastAsia="en-US"/>
        </w:rPr>
      </w:pPr>
      <w:r w:rsidRPr="0042312F">
        <w:rPr>
          <w:sz w:val="22"/>
          <w:szCs w:val="22"/>
          <w:lang w:eastAsia="en-US"/>
        </w:rPr>
        <w:t>N</w:t>
      </w:r>
      <w:r w:rsidR="00757975" w:rsidRPr="0042312F">
        <w:rPr>
          <w:sz w:val="22"/>
          <w:szCs w:val="22"/>
          <w:lang w:eastAsia="en-US"/>
        </w:rPr>
        <w:t>ie ma ograniczeń co do maksymalnej liczby świadczonych usług</w:t>
      </w:r>
      <w:r w:rsidR="005B0066" w:rsidRPr="0042312F">
        <w:rPr>
          <w:sz w:val="22"/>
          <w:szCs w:val="22"/>
          <w:lang w:eastAsia="en-US"/>
        </w:rPr>
        <w:t xml:space="preserve">. </w:t>
      </w:r>
      <w:r w:rsidR="00781120" w:rsidRPr="0042312F">
        <w:rPr>
          <w:sz w:val="22"/>
          <w:szCs w:val="22"/>
          <w:lang w:eastAsia="en-US"/>
        </w:rPr>
        <w:t>Obligatoryjnie w swojej ofercie</w:t>
      </w:r>
      <w:r w:rsidR="009D2875" w:rsidRPr="0042312F">
        <w:rPr>
          <w:sz w:val="22"/>
          <w:szCs w:val="22"/>
          <w:lang w:eastAsia="en-US"/>
        </w:rPr>
        <w:t xml:space="preserve"> Wnioskodawca powinien posiadać usługi, o których mowa w „Zasady kwalifikowalności wydatków (…)”, stanowiących Załącznik nr 7.1 do Regulaminu wyboru, jak również w definicji kryterium nr 18. Jednak katalog może być szerszy. </w:t>
      </w:r>
      <w:r w:rsidR="00C06B29" w:rsidRPr="0042312F">
        <w:rPr>
          <w:sz w:val="22"/>
          <w:szCs w:val="22"/>
          <w:lang w:eastAsia="en-US"/>
        </w:rPr>
        <w:t>Oczywiście, ażeby otrzymać refundację kosztów związanych ze świadczeniem danej usługi, musi ona być zaplanowana w projekcie.</w:t>
      </w:r>
    </w:p>
    <w:p w14:paraId="2475B645" w14:textId="41B795F6" w:rsidR="005B0066" w:rsidRPr="0042312F" w:rsidRDefault="005B0066" w:rsidP="0042312F">
      <w:pPr>
        <w:pStyle w:val="Akapitzlist"/>
        <w:spacing w:after="120"/>
        <w:rPr>
          <w:sz w:val="22"/>
          <w:szCs w:val="22"/>
          <w:lang w:eastAsia="en-US"/>
        </w:rPr>
      </w:pPr>
      <w:r w:rsidRPr="0042312F">
        <w:rPr>
          <w:sz w:val="22"/>
          <w:szCs w:val="22"/>
          <w:lang w:eastAsia="en-US"/>
        </w:rPr>
        <w:t xml:space="preserve">Odnosząc się do maksymalnej kwoty wsparcia na przedsiębiorstwo, należy pamiętać, że usługi świadczone przez </w:t>
      </w:r>
      <w:r w:rsidR="00333FAA" w:rsidRPr="0042312F">
        <w:rPr>
          <w:sz w:val="22"/>
          <w:szCs w:val="22"/>
          <w:lang w:eastAsia="en-US"/>
        </w:rPr>
        <w:t>IOB</w:t>
      </w:r>
      <w:r w:rsidRPr="0042312F">
        <w:rPr>
          <w:sz w:val="22"/>
          <w:szCs w:val="22"/>
          <w:lang w:eastAsia="en-US"/>
        </w:rPr>
        <w:t xml:space="preserve"> są pomocą de </w:t>
      </w:r>
      <w:proofErr w:type="spellStart"/>
      <w:r w:rsidRPr="0042312F">
        <w:rPr>
          <w:sz w:val="22"/>
          <w:szCs w:val="22"/>
          <w:lang w:eastAsia="en-US"/>
        </w:rPr>
        <w:t>minimis</w:t>
      </w:r>
      <w:proofErr w:type="spellEnd"/>
      <w:r w:rsidRPr="0042312F">
        <w:rPr>
          <w:sz w:val="22"/>
          <w:szCs w:val="22"/>
          <w:lang w:eastAsia="en-US"/>
        </w:rPr>
        <w:t xml:space="preserve"> udzieloną przedsiębiorcy, tym samym </w:t>
      </w:r>
      <w:r w:rsidR="00333FAA" w:rsidRPr="0042312F">
        <w:rPr>
          <w:sz w:val="22"/>
          <w:szCs w:val="22"/>
          <w:lang w:eastAsia="en-US"/>
        </w:rPr>
        <w:t>kwotę wsparcia</w:t>
      </w:r>
      <w:r w:rsidRPr="0042312F">
        <w:rPr>
          <w:sz w:val="22"/>
          <w:szCs w:val="22"/>
          <w:lang w:eastAsia="en-US"/>
        </w:rPr>
        <w:t xml:space="preserve"> </w:t>
      </w:r>
      <w:r w:rsidR="00333FAA" w:rsidRPr="0042312F">
        <w:rPr>
          <w:sz w:val="22"/>
          <w:szCs w:val="22"/>
          <w:lang w:eastAsia="en-US"/>
        </w:rPr>
        <w:t>regulują</w:t>
      </w:r>
      <w:r w:rsidRPr="0042312F">
        <w:rPr>
          <w:sz w:val="22"/>
          <w:szCs w:val="22"/>
          <w:lang w:eastAsia="en-US"/>
        </w:rPr>
        <w:t xml:space="preserve"> przepis</w:t>
      </w:r>
      <w:r w:rsidR="00333FAA" w:rsidRPr="0042312F">
        <w:rPr>
          <w:sz w:val="22"/>
          <w:szCs w:val="22"/>
          <w:lang w:eastAsia="en-US"/>
        </w:rPr>
        <w:t>y</w:t>
      </w:r>
      <w:r w:rsidRPr="0042312F">
        <w:rPr>
          <w:sz w:val="22"/>
          <w:szCs w:val="22"/>
          <w:lang w:eastAsia="en-US"/>
        </w:rPr>
        <w:t xml:space="preserve"> dotycząc</w:t>
      </w:r>
      <w:r w:rsidR="00333FAA" w:rsidRPr="0042312F">
        <w:rPr>
          <w:sz w:val="22"/>
          <w:szCs w:val="22"/>
          <w:lang w:eastAsia="en-US"/>
        </w:rPr>
        <w:t xml:space="preserve">e </w:t>
      </w:r>
      <w:r w:rsidRPr="0042312F">
        <w:rPr>
          <w:sz w:val="22"/>
          <w:szCs w:val="22"/>
          <w:lang w:eastAsia="en-US"/>
        </w:rPr>
        <w:t xml:space="preserve">pomocy de </w:t>
      </w:r>
      <w:proofErr w:type="spellStart"/>
      <w:r w:rsidRPr="0042312F">
        <w:rPr>
          <w:sz w:val="22"/>
          <w:szCs w:val="22"/>
          <w:lang w:eastAsia="en-US"/>
        </w:rPr>
        <w:t>minimis</w:t>
      </w:r>
      <w:proofErr w:type="spellEnd"/>
      <w:r w:rsidR="004F5A02" w:rsidRPr="0042312F">
        <w:rPr>
          <w:sz w:val="22"/>
          <w:szCs w:val="22"/>
          <w:lang w:eastAsia="en-US"/>
        </w:rPr>
        <w:t>.</w:t>
      </w:r>
    </w:p>
    <w:p w14:paraId="69F46602" w14:textId="32119875" w:rsidR="00BC4EE3" w:rsidRPr="0042312F" w:rsidRDefault="00BC4EE3" w:rsidP="0042312F">
      <w:pPr>
        <w:pStyle w:val="Akapitzlist"/>
        <w:numPr>
          <w:ilvl w:val="0"/>
          <w:numId w:val="1"/>
        </w:numPr>
        <w:rPr>
          <w:sz w:val="22"/>
          <w:szCs w:val="22"/>
          <w:lang w:eastAsia="en-US"/>
        </w:rPr>
      </w:pPr>
      <w:r w:rsidRPr="0042312F">
        <w:rPr>
          <w:sz w:val="22"/>
          <w:szCs w:val="22"/>
          <w:lang w:eastAsia="en-US"/>
        </w:rPr>
        <w:t>Czy można w projekcie określić jedna maksymalną kwotę wsparcia na firmę i w ramach tej kwoty będą wyświadczane usługi firmie inkubowanej?</w:t>
      </w:r>
    </w:p>
    <w:p w14:paraId="20EEDAFA" w14:textId="77777777" w:rsidR="00781120" w:rsidRPr="0042312F" w:rsidRDefault="005362C7" w:rsidP="0042312F">
      <w:pPr>
        <w:pStyle w:val="Akapitzlist"/>
        <w:rPr>
          <w:sz w:val="22"/>
          <w:szCs w:val="22"/>
          <w:lang w:eastAsia="en-US"/>
        </w:rPr>
      </w:pPr>
      <w:r w:rsidRPr="0042312F">
        <w:rPr>
          <w:b/>
          <w:bCs/>
          <w:sz w:val="22"/>
          <w:szCs w:val="22"/>
          <w:lang w:eastAsia="en-US"/>
        </w:rPr>
        <w:t>Odpowiedź:</w:t>
      </w:r>
      <w:r w:rsidRPr="0042312F">
        <w:rPr>
          <w:sz w:val="22"/>
          <w:szCs w:val="22"/>
          <w:lang w:eastAsia="en-US"/>
        </w:rPr>
        <w:t xml:space="preserve"> </w:t>
      </w:r>
    </w:p>
    <w:p w14:paraId="010E6F2E" w14:textId="357D3F36" w:rsidR="005362C7" w:rsidRPr="0042312F" w:rsidRDefault="005362C7" w:rsidP="0042312F">
      <w:pPr>
        <w:pStyle w:val="Akapitzlist"/>
        <w:spacing w:after="120"/>
        <w:rPr>
          <w:sz w:val="22"/>
          <w:szCs w:val="22"/>
          <w:lang w:eastAsia="en-US"/>
        </w:rPr>
      </w:pPr>
      <w:r w:rsidRPr="0042312F">
        <w:rPr>
          <w:sz w:val="22"/>
          <w:szCs w:val="22"/>
          <w:lang w:eastAsia="en-US"/>
        </w:rPr>
        <w:t>Budżet projektu powinien być oparty o wartości poszczególnych usług, które Państwo będziecie świadczyć inkubowanym przedsiębiorstwom, a nie w oparciu o ustalony limit na przedsiębiorstwo. Należy przypomnieć, że projekt będzie rozliczany na podstawie rzeczywiście ponoszonych kosztów.</w:t>
      </w:r>
    </w:p>
    <w:p w14:paraId="5FFA559B" w14:textId="7736AF63" w:rsidR="00BC4EE3" w:rsidRPr="0042312F" w:rsidRDefault="00BC4EE3" w:rsidP="0042312F">
      <w:pPr>
        <w:pStyle w:val="Akapitzlist"/>
        <w:numPr>
          <w:ilvl w:val="0"/>
          <w:numId w:val="1"/>
        </w:numPr>
        <w:rPr>
          <w:sz w:val="22"/>
          <w:szCs w:val="22"/>
          <w:lang w:eastAsia="en-US"/>
        </w:rPr>
      </w:pPr>
      <w:r w:rsidRPr="0042312F">
        <w:rPr>
          <w:sz w:val="22"/>
          <w:szCs w:val="22"/>
          <w:lang w:eastAsia="en-US"/>
        </w:rPr>
        <w:t>Czy organizacja wydarzenia jest obowiązkowa? Biorąc pod uwagę nasze doświadczenie to do udziału w projekcie raczej nie zgłaszają się firmy innowacyjne, które będą szukały inwestorów. Ewentualnie sfinansowanie im udziału w takim wydarzeniu dla startupów.</w:t>
      </w:r>
    </w:p>
    <w:p w14:paraId="4A6CBA39" w14:textId="77777777" w:rsidR="00781120" w:rsidRPr="0042312F" w:rsidRDefault="005362C7" w:rsidP="0042312F">
      <w:pPr>
        <w:pStyle w:val="Akapitzlist"/>
        <w:rPr>
          <w:sz w:val="22"/>
          <w:szCs w:val="22"/>
          <w:lang w:eastAsia="en-US"/>
        </w:rPr>
      </w:pPr>
      <w:r w:rsidRPr="0042312F">
        <w:rPr>
          <w:b/>
          <w:bCs/>
          <w:sz w:val="22"/>
          <w:szCs w:val="22"/>
          <w:lang w:eastAsia="en-US"/>
        </w:rPr>
        <w:t>Odpowiedź:</w:t>
      </w:r>
      <w:r w:rsidRPr="0042312F">
        <w:rPr>
          <w:sz w:val="22"/>
          <w:szCs w:val="22"/>
          <w:lang w:eastAsia="en-US"/>
        </w:rPr>
        <w:t xml:space="preserve"> </w:t>
      </w:r>
    </w:p>
    <w:p w14:paraId="07F36739" w14:textId="065372EE" w:rsidR="005362C7" w:rsidRPr="0042312F" w:rsidRDefault="005362C7" w:rsidP="0042312F">
      <w:pPr>
        <w:pStyle w:val="Akapitzlist"/>
        <w:spacing w:after="120"/>
        <w:rPr>
          <w:sz w:val="22"/>
          <w:szCs w:val="22"/>
          <w:lang w:eastAsia="en-US"/>
        </w:rPr>
      </w:pPr>
      <w:r w:rsidRPr="0042312F">
        <w:rPr>
          <w:sz w:val="22"/>
          <w:szCs w:val="22"/>
          <w:lang w:eastAsia="en-US"/>
        </w:rPr>
        <w:t xml:space="preserve">Za organizację wydarzenia przyznawane są punkty podczas oceny projektu. Zgodnie z opisem </w:t>
      </w:r>
      <w:r w:rsidR="001A51C7" w:rsidRPr="0042312F">
        <w:rPr>
          <w:sz w:val="22"/>
          <w:szCs w:val="22"/>
          <w:lang w:eastAsia="en-US"/>
        </w:rPr>
        <w:t xml:space="preserve">znaczenia kryterium nr 24, </w:t>
      </w:r>
      <w:r w:rsidRPr="0042312F">
        <w:rPr>
          <w:sz w:val="22"/>
          <w:szCs w:val="22"/>
          <w:lang w:eastAsia="en-US"/>
        </w:rPr>
        <w:t xml:space="preserve"> </w:t>
      </w:r>
      <w:r w:rsidR="001A51C7" w:rsidRPr="0042312F">
        <w:rPr>
          <w:i/>
          <w:iCs/>
          <w:sz w:val="22"/>
          <w:szCs w:val="22"/>
          <w:lang w:eastAsia="en-US"/>
        </w:rPr>
        <w:t xml:space="preserve">spełnienie kryterium nie jest konieczne do przyznania dofinansowania  (przy czym przyznanie 0 punktów nie dyskwalifikuje z możliwości uzyskania dofinansowania). </w:t>
      </w:r>
      <w:r w:rsidR="001A51C7" w:rsidRPr="0042312F">
        <w:rPr>
          <w:sz w:val="22"/>
          <w:szCs w:val="22"/>
          <w:lang w:eastAsia="en-US"/>
        </w:rPr>
        <w:t>Tym samym</w:t>
      </w:r>
      <w:r w:rsidR="001A51C7" w:rsidRPr="0042312F">
        <w:rPr>
          <w:i/>
          <w:iCs/>
          <w:sz w:val="22"/>
          <w:szCs w:val="22"/>
          <w:lang w:eastAsia="en-US"/>
        </w:rPr>
        <w:t xml:space="preserve">, </w:t>
      </w:r>
      <w:r w:rsidR="001A51C7" w:rsidRPr="0042312F">
        <w:rPr>
          <w:sz w:val="22"/>
          <w:szCs w:val="22"/>
          <w:lang w:eastAsia="en-US"/>
        </w:rPr>
        <w:t>o</w:t>
      </w:r>
      <w:r w:rsidRPr="0042312F">
        <w:rPr>
          <w:sz w:val="22"/>
          <w:szCs w:val="22"/>
          <w:lang w:eastAsia="en-US"/>
        </w:rPr>
        <w:t>rganizacja wydarzenia nie jest obligatoryjna.</w:t>
      </w:r>
    </w:p>
    <w:p w14:paraId="21B31751" w14:textId="28A2816F" w:rsidR="00BC4EE3" w:rsidRPr="0042312F" w:rsidRDefault="00BC4EE3" w:rsidP="0042312F">
      <w:pPr>
        <w:pStyle w:val="Akapitzlist"/>
        <w:numPr>
          <w:ilvl w:val="0"/>
          <w:numId w:val="1"/>
        </w:numPr>
        <w:rPr>
          <w:sz w:val="22"/>
          <w:szCs w:val="22"/>
          <w:lang w:eastAsia="en-US"/>
        </w:rPr>
      </w:pPr>
      <w:r w:rsidRPr="0042312F">
        <w:rPr>
          <w:sz w:val="22"/>
          <w:szCs w:val="22"/>
          <w:lang w:eastAsia="en-US"/>
        </w:rPr>
        <w:lastRenderedPageBreak/>
        <w:t>Czy firmy, które będą spełniały warunek do 3-ch lat działalności, ale brały udział w tego typu projekcie w poprzedniej perspektywie mogą wziąć udział?</w:t>
      </w:r>
    </w:p>
    <w:p w14:paraId="1C940653" w14:textId="77777777" w:rsidR="00781120" w:rsidRPr="0042312F" w:rsidRDefault="001A51C7" w:rsidP="0042312F">
      <w:pPr>
        <w:pStyle w:val="Akapitzlist"/>
        <w:rPr>
          <w:sz w:val="22"/>
          <w:szCs w:val="22"/>
          <w:lang w:eastAsia="en-US"/>
        </w:rPr>
      </w:pPr>
      <w:r w:rsidRPr="0042312F">
        <w:rPr>
          <w:b/>
          <w:bCs/>
          <w:sz w:val="22"/>
          <w:szCs w:val="22"/>
          <w:lang w:eastAsia="en-US"/>
        </w:rPr>
        <w:t>Odpowiedź:</w:t>
      </w:r>
      <w:r w:rsidRPr="0042312F">
        <w:rPr>
          <w:sz w:val="22"/>
          <w:szCs w:val="22"/>
          <w:lang w:eastAsia="en-US"/>
        </w:rPr>
        <w:t xml:space="preserve"> </w:t>
      </w:r>
    </w:p>
    <w:p w14:paraId="7D4C5051" w14:textId="48310B87" w:rsidR="001A51C7" w:rsidRPr="0042312F" w:rsidRDefault="001A51C7" w:rsidP="0042312F">
      <w:pPr>
        <w:pStyle w:val="Akapitzlist"/>
        <w:spacing w:after="120"/>
        <w:rPr>
          <w:sz w:val="22"/>
          <w:szCs w:val="22"/>
          <w:lang w:eastAsia="en-US"/>
        </w:rPr>
      </w:pPr>
      <w:r w:rsidRPr="0042312F">
        <w:rPr>
          <w:sz w:val="22"/>
          <w:szCs w:val="22"/>
          <w:lang w:eastAsia="en-US"/>
        </w:rPr>
        <w:t>Jeśli firma będzie w dalszym ciągu firmą w początkowej fazie rozwoju – możliwe jest jej inkubowanie w projekcie. Należy pamiętać, że zgodnie z Regulaminem wyboru, proces inkubacji może odbywać się jedynie do osiągnięcia przez przedsiębiorstwo 3 roku funkcjonowania.</w:t>
      </w:r>
    </w:p>
    <w:p w14:paraId="6E924980" w14:textId="7539F2A5" w:rsidR="00BC4EE3" w:rsidRPr="0042312F" w:rsidRDefault="00BC4EE3" w:rsidP="0042312F">
      <w:pPr>
        <w:pStyle w:val="Akapitzlist"/>
        <w:numPr>
          <w:ilvl w:val="0"/>
          <w:numId w:val="1"/>
        </w:numPr>
        <w:rPr>
          <w:sz w:val="22"/>
          <w:szCs w:val="22"/>
        </w:rPr>
      </w:pPr>
      <w:r w:rsidRPr="0042312F">
        <w:rPr>
          <w:sz w:val="22"/>
          <w:szCs w:val="22"/>
        </w:rPr>
        <w:t>Czy przedsiębiorca, który brał udział w poprzedniej perspektywie w działaniu 1.3.1, ale zamknął działalność i po np. roku otworzył nową z inna kategorią działalności może wziąć udział w projekcie?</w:t>
      </w:r>
    </w:p>
    <w:p w14:paraId="609B251C" w14:textId="77777777" w:rsidR="00781120" w:rsidRPr="0042312F" w:rsidRDefault="001A51C7" w:rsidP="0042312F">
      <w:pPr>
        <w:pStyle w:val="Akapitzlist"/>
        <w:rPr>
          <w:sz w:val="22"/>
          <w:szCs w:val="22"/>
          <w:lang w:eastAsia="en-US"/>
        </w:rPr>
      </w:pPr>
      <w:r w:rsidRPr="0042312F">
        <w:rPr>
          <w:b/>
          <w:bCs/>
          <w:sz w:val="22"/>
          <w:szCs w:val="22"/>
          <w:lang w:eastAsia="en-US"/>
        </w:rPr>
        <w:t>Odpowiedź:</w:t>
      </w:r>
      <w:r w:rsidRPr="0042312F">
        <w:rPr>
          <w:sz w:val="22"/>
          <w:szCs w:val="22"/>
          <w:lang w:eastAsia="en-US"/>
        </w:rPr>
        <w:t xml:space="preserve"> </w:t>
      </w:r>
    </w:p>
    <w:p w14:paraId="4B1EABF0" w14:textId="03BE75DC" w:rsidR="001A51C7" w:rsidRPr="0042312F" w:rsidRDefault="00152726" w:rsidP="0042312F">
      <w:pPr>
        <w:pStyle w:val="Akapitzlist"/>
        <w:spacing w:after="120"/>
        <w:rPr>
          <w:sz w:val="22"/>
          <w:szCs w:val="22"/>
          <w:lang w:eastAsia="en-US"/>
        </w:rPr>
      </w:pPr>
      <w:r w:rsidRPr="0042312F">
        <w:rPr>
          <w:sz w:val="22"/>
          <w:szCs w:val="22"/>
          <w:lang w:eastAsia="en-US"/>
        </w:rPr>
        <w:t xml:space="preserve">Na podstawie zawartych w pytaniu informacji, nie jest możliwe jednoznaczne udzielenie odpowiedzi na pytanie. Niezbędne jest określenie, czy przedsiębiorca zawiesił działalność i ją wznowił, czy też zamknął dotychczasową i otworzył zupełnie nową pod inną nazwą? Należy pamiętać, że inkubowaniem mogą zostać objęte firmy do trzeciego roku funkcjonowania. Liczy się okres funkcjonowania firmy na rynku, nie zaś rodzaj działalności </w:t>
      </w:r>
      <w:r w:rsidR="00C06B29" w:rsidRPr="0042312F">
        <w:rPr>
          <w:sz w:val="22"/>
          <w:szCs w:val="22"/>
          <w:lang w:eastAsia="en-US"/>
        </w:rPr>
        <w:t xml:space="preserve">jaki </w:t>
      </w:r>
      <w:r w:rsidRPr="0042312F">
        <w:rPr>
          <w:sz w:val="22"/>
          <w:szCs w:val="22"/>
          <w:lang w:eastAsia="en-US"/>
        </w:rPr>
        <w:t>firma prowadzi.</w:t>
      </w:r>
    </w:p>
    <w:p w14:paraId="7D1AB3D9" w14:textId="77777777" w:rsidR="00BC4EE3" w:rsidRPr="0042312F" w:rsidRDefault="00BC4EE3" w:rsidP="0042312F">
      <w:pPr>
        <w:pStyle w:val="Akapitzlist"/>
        <w:numPr>
          <w:ilvl w:val="0"/>
          <w:numId w:val="1"/>
        </w:numPr>
        <w:rPr>
          <w:sz w:val="22"/>
          <w:szCs w:val="22"/>
        </w:rPr>
      </w:pPr>
      <w:r w:rsidRPr="0042312F">
        <w:rPr>
          <w:sz w:val="22"/>
          <w:szCs w:val="22"/>
        </w:rPr>
        <w:t>Wnioskodawca ma obowiązek przeprowadzić analizę popytu na usługi IOB i złożyć wraz z wnioskiem o dofinansowanie – choć istnieje dużo prawdopodobieństwo, że analiza i zapotrzebowanie na usługi, które uzyskamy mogą znacznie się różnić o tego czym będą zainteresowane firmy, które przyjdą do projektu tak naprawdę za ok. rok?  Jest też określony z góry katalog usług minimum? Jak duży ma być katalog usług, który będzie proponowany przyszłym firmom inkubowanym?</w:t>
      </w:r>
    </w:p>
    <w:p w14:paraId="047291E2" w14:textId="6C066387" w:rsidR="00BC4EE3" w:rsidRPr="0042312F" w:rsidRDefault="00BC4EE3" w:rsidP="0042312F">
      <w:pPr>
        <w:pStyle w:val="Akapitzlist"/>
        <w:rPr>
          <w:sz w:val="22"/>
          <w:szCs w:val="22"/>
        </w:rPr>
      </w:pPr>
      <w:r w:rsidRPr="0042312F">
        <w:rPr>
          <w:sz w:val="22"/>
          <w:szCs w:val="22"/>
        </w:rPr>
        <w:t>Do tego dość istotna kwestia dla nas jako przyszłego Wnioskodawcy jest Prawo zamówień Publicznych, gdzie nie możemy ogłaszać postepowania na usługi, które w ogóle nie będą zrealizowane, bo np. firmy ich nie jednak nie będą chciały.  </w:t>
      </w:r>
    </w:p>
    <w:p w14:paraId="76C0326A" w14:textId="77777777" w:rsidR="00781120" w:rsidRPr="0042312F" w:rsidRDefault="00152726" w:rsidP="0042312F">
      <w:pPr>
        <w:pStyle w:val="Akapitzlist"/>
        <w:rPr>
          <w:rFonts w:eastAsiaTheme="minorHAnsi"/>
          <w:sz w:val="22"/>
          <w:szCs w:val="22"/>
          <w:lang w:eastAsia="en-US"/>
        </w:rPr>
      </w:pPr>
      <w:r w:rsidRPr="0042312F">
        <w:rPr>
          <w:rFonts w:eastAsiaTheme="minorHAnsi"/>
          <w:b/>
          <w:bCs/>
          <w:sz w:val="22"/>
          <w:szCs w:val="22"/>
          <w:lang w:eastAsia="en-US"/>
        </w:rPr>
        <w:t>Odpowiedź:</w:t>
      </w:r>
      <w:r w:rsidRPr="0042312F">
        <w:rPr>
          <w:rFonts w:eastAsiaTheme="minorHAnsi"/>
          <w:sz w:val="22"/>
          <w:szCs w:val="22"/>
          <w:lang w:eastAsia="en-US"/>
        </w:rPr>
        <w:t xml:space="preserve"> </w:t>
      </w:r>
    </w:p>
    <w:p w14:paraId="37A32201" w14:textId="339FF06E" w:rsidR="004E4A23" w:rsidRPr="0042312F" w:rsidRDefault="003C3FCC" w:rsidP="0042312F">
      <w:pPr>
        <w:pStyle w:val="Akapitzlist"/>
        <w:spacing w:after="120"/>
        <w:rPr>
          <w:rFonts w:eastAsiaTheme="minorHAnsi"/>
          <w:sz w:val="22"/>
          <w:szCs w:val="22"/>
          <w:lang w:eastAsia="en-US"/>
        </w:rPr>
      </w:pPr>
      <w:r w:rsidRPr="0042312F">
        <w:rPr>
          <w:rFonts w:eastAsiaTheme="minorHAnsi"/>
          <w:sz w:val="22"/>
          <w:szCs w:val="22"/>
          <w:lang w:eastAsia="en-US"/>
        </w:rPr>
        <w:t>Jesteście Państwo zobowiązani,</w:t>
      </w:r>
      <w:r w:rsidR="00152726" w:rsidRPr="0042312F">
        <w:rPr>
          <w:rFonts w:eastAsiaTheme="minorHAnsi"/>
          <w:sz w:val="22"/>
          <w:szCs w:val="22"/>
          <w:lang w:eastAsia="en-US"/>
        </w:rPr>
        <w:t xml:space="preserve"> na etapie aplikowania</w:t>
      </w:r>
      <w:r w:rsidRPr="0042312F">
        <w:rPr>
          <w:rFonts w:eastAsiaTheme="minorHAnsi"/>
          <w:sz w:val="22"/>
          <w:szCs w:val="22"/>
          <w:lang w:eastAsia="en-US"/>
        </w:rPr>
        <w:t>,</w:t>
      </w:r>
      <w:r w:rsidR="00152726" w:rsidRPr="0042312F">
        <w:rPr>
          <w:rFonts w:eastAsiaTheme="minorHAnsi"/>
          <w:sz w:val="22"/>
          <w:szCs w:val="22"/>
          <w:lang w:eastAsia="en-US"/>
        </w:rPr>
        <w:t xml:space="preserve"> uzasadnić że na usługi, które zaplanujecie w projekcie istnieje popyt na rynku. W tym celu</w:t>
      </w:r>
      <w:r w:rsidR="00C06B29" w:rsidRPr="0042312F">
        <w:rPr>
          <w:rFonts w:eastAsiaTheme="minorHAnsi"/>
          <w:sz w:val="22"/>
          <w:szCs w:val="22"/>
          <w:lang w:eastAsia="en-US"/>
        </w:rPr>
        <w:t>,</w:t>
      </w:r>
      <w:r w:rsidR="00152726" w:rsidRPr="0042312F">
        <w:rPr>
          <w:rFonts w:eastAsiaTheme="minorHAnsi"/>
          <w:sz w:val="22"/>
          <w:szCs w:val="22"/>
          <w:lang w:eastAsia="en-US"/>
        </w:rPr>
        <w:t xml:space="preserve"> niezbędne jest przeprowadzenie analizy popytu. Wiadomym jest, że „konfiguracja” usług w projekcie będzie różna, w zależności od potrzeb przedsiębiorstw, niemniej jednak </w:t>
      </w:r>
      <w:r w:rsidR="00781120" w:rsidRPr="0042312F">
        <w:rPr>
          <w:rFonts w:eastAsiaTheme="minorHAnsi"/>
          <w:sz w:val="22"/>
          <w:szCs w:val="22"/>
          <w:lang w:eastAsia="en-US"/>
        </w:rPr>
        <w:t xml:space="preserve">w trakcie realizacji projektu </w:t>
      </w:r>
      <w:r w:rsidR="00152726" w:rsidRPr="0042312F">
        <w:rPr>
          <w:rFonts w:eastAsiaTheme="minorHAnsi"/>
          <w:sz w:val="22"/>
          <w:szCs w:val="22"/>
          <w:lang w:eastAsia="en-US"/>
        </w:rPr>
        <w:t xml:space="preserve">nie będą mogły być świadczone usługi inne, niż </w:t>
      </w:r>
      <w:r w:rsidRPr="0042312F">
        <w:rPr>
          <w:rFonts w:eastAsiaTheme="minorHAnsi"/>
          <w:sz w:val="22"/>
          <w:szCs w:val="22"/>
          <w:lang w:eastAsia="en-US"/>
        </w:rPr>
        <w:t xml:space="preserve">zaplanowane we wniosku o dofinansowanie. </w:t>
      </w:r>
      <w:r w:rsidR="00CF1DD9" w:rsidRPr="0042312F">
        <w:rPr>
          <w:rFonts w:eastAsiaTheme="minorHAnsi"/>
          <w:sz w:val="22"/>
          <w:szCs w:val="22"/>
          <w:lang w:eastAsia="en-US"/>
        </w:rPr>
        <w:t xml:space="preserve">Ponadto, Wnioskodawca już na etapie aplikowania </w:t>
      </w:r>
      <w:r w:rsidR="00781120" w:rsidRPr="0042312F">
        <w:rPr>
          <w:rFonts w:eastAsiaTheme="minorHAnsi"/>
          <w:sz w:val="22"/>
          <w:szCs w:val="22"/>
          <w:lang w:eastAsia="en-US"/>
        </w:rPr>
        <w:t xml:space="preserve">powinien wykazać, że dysponuje potencjałem niezbędnym do efektywnego wsparcia firm w początkowej fazie rozwoju (kryterium nr 23), tj. m.in. wykazać, że usługi w ramach projektu będą świadczone przez kadrę o wysokich kompetencjach merytorycznych, profesjonalnych i eksperckich, których kwalifikacje i doświadczenie gwarantują wysoką jakość świadczenia usług w zakresie realizacji projektu. Wobec tego, już na etapie aplikowania, Wnioskodawca powinien </w:t>
      </w:r>
      <w:r w:rsidR="00C06B29" w:rsidRPr="0042312F">
        <w:rPr>
          <w:rFonts w:eastAsiaTheme="minorHAnsi"/>
          <w:sz w:val="22"/>
          <w:szCs w:val="22"/>
          <w:lang w:eastAsia="en-US"/>
        </w:rPr>
        <w:t>potwierdzić, że dysponuje kadrą (własną lub zewnętrzną) niezbędną do świadczenia zaplanowanych w projekcie usług, nie zaś wyłaniać ją dopiero w trakcie realizacji projektu.</w:t>
      </w:r>
      <w:bookmarkEnd w:id="0"/>
    </w:p>
    <w:p w14:paraId="6EF4283B" w14:textId="30E5E8C1" w:rsidR="006A5424" w:rsidRPr="0042312F" w:rsidRDefault="006A5424" w:rsidP="0042312F">
      <w:pPr>
        <w:pStyle w:val="Akapitzlist"/>
        <w:numPr>
          <w:ilvl w:val="0"/>
          <w:numId w:val="1"/>
        </w:numPr>
        <w:rPr>
          <w:sz w:val="22"/>
          <w:szCs w:val="22"/>
        </w:rPr>
      </w:pPr>
      <w:r w:rsidRPr="0042312F">
        <w:rPr>
          <w:sz w:val="22"/>
          <w:szCs w:val="22"/>
        </w:rPr>
        <w:t>Proszę o doprecyzowanie, czy w ramach naboru można w projekcie przewidzieć tzw. „</w:t>
      </w:r>
      <w:r w:rsidRPr="0042312F">
        <w:rPr>
          <w:i/>
          <w:iCs/>
          <w:sz w:val="22"/>
          <w:szCs w:val="22"/>
        </w:rPr>
        <w:t>koszty pośrednie</w:t>
      </w:r>
      <w:r w:rsidRPr="0042312F">
        <w:rPr>
          <w:sz w:val="22"/>
          <w:szCs w:val="22"/>
        </w:rPr>
        <w:t>”. W dokumentacji naboru w wielu miejscach jest o nich mowa, jednakże w § 5 Regulaminu nie ma konkretnej informacji o kosztach pośrednich z podaniem procentowej stawki ryczałtowej, jak miało miejsce zwyczajowo w innych naborach. Taka informacja, z tego co zauważyliśmy pojawia się tylko jeden raz w Zał. Nr. 7.1. do Regulaminu „</w:t>
      </w:r>
      <w:r w:rsidRPr="0042312F">
        <w:rPr>
          <w:i/>
          <w:iCs/>
          <w:sz w:val="22"/>
          <w:szCs w:val="22"/>
        </w:rPr>
        <w:t>Zasady kwalifikowalności wydatków…</w:t>
      </w:r>
      <w:r w:rsidRPr="0042312F">
        <w:rPr>
          <w:sz w:val="22"/>
          <w:szCs w:val="22"/>
        </w:rPr>
        <w:t>” z podaną stawką ryczałtową – 7%. W związku z tym zwracamy się z zapytaniem, czy w projekcie ostatecznie będzie można rozliczyć koszty pośrednie, a jeżeli tak to w jakiej wysokości?</w:t>
      </w:r>
    </w:p>
    <w:p w14:paraId="7F1F0841" w14:textId="2D13A6C4" w:rsidR="006A5424" w:rsidRPr="0042312F" w:rsidRDefault="006A5424" w:rsidP="0042312F">
      <w:pPr>
        <w:spacing w:after="0" w:line="240" w:lineRule="auto"/>
        <w:ind w:left="720"/>
        <w:rPr>
          <w:b/>
          <w:bCs/>
        </w:rPr>
      </w:pPr>
      <w:r w:rsidRPr="0042312F">
        <w:rPr>
          <w:b/>
          <w:bCs/>
        </w:rPr>
        <w:t>Odpowiedź:</w:t>
      </w:r>
    </w:p>
    <w:p w14:paraId="65F1756F" w14:textId="16AD9F8C" w:rsidR="006A5424" w:rsidRPr="0042312F" w:rsidRDefault="006A5424" w:rsidP="0042312F">
      <w:pPr>
        <w:spacing w:after="120" w:line="240" w:lineRule="auto"/>
        <w:ind w:left="720"/>
        <w:rPr>
          <w:rFonts w:eastAsia="Times New Roman"/>
        </w:rPr>
      </w:pPr>
      <w:r w:rsidRPr="0042312F">
        <w:rPr>
          <w:rFonts w:eastAsia="Times New Roman"/>
        </w:rPr>
        <w:t>Zgodnie z zapisami „Zasad Kwalifikowalności wydatków (…)” koszty pośrednie będą stanowiły koszt kwalifikowalny. Będą rozliczane przy zastosowaniu stawki ryczałtowej 7%  kwalifikowalnych kosztów bezpośrednich</w:t>
      </w:r>
    </w:p>
    <w:p w14:paraId="27B864A8" w14:textId="0CFB27DC" w:rsidR="006A5424" w:rsidRPr="0042312F" w:rsidRDefault="006A5424" w:rsidP="0042312F">
      <w:pPr>
        <w:pStyle w:val="Akapitzlist"/>
        <w:numPr>
          <w:ilvl w:val="0"/>
          <w:numId w:val="1"/>
        </w:numPr>
        <w:rPr>
          <w:sz w:val="22"/>
          <w:szCs w:val="22"/>
        </w:rPr>
      </w:pPr>
      <w:r w:rsidRPr="0042312F">
        <w:rPr>
          <w:sz w:val="22"/>
          <w:szCs w:val="22"/>
        </w:rPr>
        <w:t>W zał. Nr 4 do Regulaminu „</w:t>
      </w:r>
      <w:r w:rsidRPr="0042312F">
        <w:rPr>
          <w:i/>
          <w:iCs/>
          <w:sz w:val="22"/>
          <w:szCs w:val="22"/>
        </w:rPr>
        <w:t>Karta z definicjami kryteriów wyboru projektów…</w:t>
      </w:r>
      <w:r w:rsidRPr="0042312F">
        <w:rPr>
          <w:sz w:val="22"/>
          <w:szCs w:val="22"/>
        </w:rPr>
        <w:t>” pkt. 8 odnosi się do projektów partnerskich. Jedno z pytań sprawdzających jest następujące: „</w:t>
      </w:r>
      <w:r w:rsidRPr="0042312F">
        <w:rPr>
          <w:i/>
          <w:iCs/>
          <w:sz w:val="22"/>
          <w:szCs w:val="22"/>
        </w:rPr>
        <w:t xml:space="preserve">Czy każdy z </w:t>
      </w:r>
      <w:r w:rsidRPr="0042312F">
        <w:rPr>
          <w:i/>
          <w:iCs/>
          <w:sz w:val="22"/>
          <w:szCs w:val="22"/>
        </w:rPr>
        <w:lastRenderedPageBreak/>
        <w:t>partnerów, oprócz wniesienia do projektu zasobów ludzkich, organizacyjnych, technicznych lub finansowych, realizuje także zadania w ramach projektu?</w:t>
      </w:r>
      <w:r w:rsidRPr="0042312F">
        <w:rPr>
          <w:sz w:val="22"/>
          <w:szCs w:val="22"/>
        </w:rPr>
        <w:t>” W ramach planowanego partnerstwa projektowego planujemy, że każdy z partnerów będzie prowadził w ramach projektu proces inkubacji/akceleracji MŚP w swoim ośrodku bez wyodrębnionego osobnego zadania. Czy takie działania partnerów projektowych zostaną zakwalifikowane jako „</w:t>
      </w:r>
      <w:r w:rsidRPr="0042312F">
        <w:rPr>
          <w:i/>
          <w:iCs/>
          <w:sz w:val="22"/>
          <w:szCs w:val="22"/>
        </w:rPr>
        <w:t>realizacja zadań w ramach projektu</w:t>
      </w:r>
      <w:r w:rsidRPr="0042312F">
        <w:rPr>
          <w:sz w:val="22"/>
          <w:szCs w:val="22"/>
        </w:rPr>
        <w:t>”.</w:t>
      </w:r>
    </w:p>
    <w:p w14:paraId="1A34CE02" w14:textId="03F2FF97" w:rsidR="003321FF" w:rsidRPr="0042312F" w:rsidRDefault="003321FF" w:rsidP="0042312F">
      <w:pPr>
        <w:spacing w:after="0" w:line="240" w:lineRule="auto"/>
        <w:ind w:left="720"/>
        <w:rPr>
          <w:b/>
          <w:bCs/>
        </w:rPr>
      </w:pPr>
      <w:r w:rsidRPr="0042312F">
        <w:rPr>
          <w:b/>
          <w:bCs/>
        </w:rPr>
        <w:t>Odpowiedź:</w:t>
      </w:r>
    </w:p>
    <w:p w14:paraId="1C43E5E0" w14:textId="14C32A88" w:rsidR="003321FF" w:rsidRPr="0042312F" w:rsidRDefault="00623FA9" w:rsidP="0042312F">
      <w:pPr>
        <w:spacing w:after="120" w:line="240" w:lineRule="auto"/>
        <w:ind w:left="720"/>
        <w:rPr>
          <w:color w:val="FF0000"/>
        </w:rPr>
      </w:pPr>
      <w:r w:rsidRPr="0042312F">
        <w:t xml:space="preserve">Tak, takie działania będą </w:t>
      </w:r>
      <w:r w:rsidR="005B0066" w:rsidRPr="0042312F">
        <w:t>uznane,</w:t>
      </w:r>
      <w:r w:rsidRPr="0042312F">
        <w:t xml:space="preserve"> jako realizacja zadań w ramach projektu. Należy pamiętać, że w projekcie partnerskim muszą być spełnione przesłanki wynikające z art. 39 ustawy wdrożeniowej, m.in. przesłanka sposobu wyboru partnerów wskazana w art. 39 ust. 2 i 3 ustawy wdrożeniowej</w:t>
      </w:r>
      <w:r w:rsidR="006E6368" w:rsidRPr="0042312F">
        <w:t>, a także przesłanka dotycząca partnera wiodącego, który powinien posiadać potencjał ekonomiczny oraz zdolność do zabezpieczenia właściwej realizacji projektu.</w:t>
      </w:r>
    </w:p>
    <w:p w14:paraId="67FA595F" w14:textId="77777777" w:rsidR="006A5424" w:rsidRPr="0042312F" w:rsidRDefault="006A5424" w:rsidP="0042312F">
      <w:pPr>
        <w:pStyle w:val="Akapitzlist"/>
        <w:numPr>
          <w:ilvl w:val="0"/>
          <w:numId w:val="1"/>
        </w:numPr>
        <w:rPr>
          <w:sz w:val="22"/>
          <w:szCs w:val="22"/>
        </w:rPr>
      </w:pPr>
      <w:bookmarkStart w:id="2" w:name="_Hlk182678932"/>
      <w:r w:rsidRPr="0042312F">
        <w:rPr>
          <w:sz w:val="22"/>
          <w:szCs w:val="22"/>
        </w:rPr>
        <w:t>W zał. Nr 4 do Regulaminu „</w:t>
      </w:r>
      <w:r w:rsidRPr="0042312F">
        <w:rPr>
          <w:i/>
          <w:iCs/>
          <w:sz w:val="22"/>
          <w:szCs w:val="22"/>
        </w:rPr>
        <w:t>Karta z definicjami kryteriów wyboru projektów…</w:t>
      </w:r>
      <w:r w:rsidRPr="0042312F">
        <w:rPr>
          <w:sz w:val="22"/>
          <w:szCs w:val="22"/>
        </w:rPr>
        <w:t>” pkt. 18 wskazuje minimalny zakres kompleksowej oferty wsparcia MŚP w projekcie. Uprzejmie proszę o doprecyzowanie następujących kwestii:</w:t>
      </w:r>
    </w:p>
    <w:p w14:paraId="0A437146" w14:textId="77777777" w:rsidR="006A5424" w:rsidRPr="0042312F" w:rsidRDefault="006A5424" w:rsidP="0042312F">
      <w:pPr>
        <w:numPr>
          <w:ilvl w:val="0"/>
          <w:numId w:val="3"/>
        </w:numPr>
        <w:spacing w:after="0" w:line="240" w:lineRule="auto"/>
      </w:pPr>
      <w:bookmarkStart w:id="3" w:name="_Hlk182402888"/>
      <w:r w:rsidRPr="0042312F">
        <w:t xml:space="preserve">Czy w ramach oferty wsparcia można przewidzieć na etapie inkubacji przygotowanie dla MŚP tzw.  </w:t>
      </w:r>
      <w:bookmarkStart w:id="4" w:name="_Hlk181175980"/>
      <w:r w:rsidRPr="0042312F">
        <w:t xml:space="preserve">MVP (Minimum </w:t>
      </w:r>
      <w:proofErr w:type="spellStart"/>
      <w:r w:rsidRPr="0042312F">
        <w:t>Viable</w:t>
      </w:r>
      <w:proofErr w:type="spellEnd"/>
      <w:r w:rsidRPr="0042312F">
        <w:t xml:space="preserve"> Product)</w:t>
      </w:r>
      <w:bookmarkEnd w:id="4"/>
      <w:r w:rsidRPr="0042312F">
        <w:t>?</w:t>
      </w:r>
    </w:p>
    <w:p w14:paraId="585D4326" w14:textId="77777777" w:rsidR="006A5424" w:rsidRPr="0042312F" w:rsidRDefault="006A5424" w:rsidP="0042312F">
      <w:pPr>
        <w:numPr>
          <w:ilvl w:val="0"/>
          <w:numId w:val="3"/>
        </w:numPr>
        <w:spacing w:after="0" w:line="240" w:lineRule="auto"/>
      </w:pPr>
      <w:r w:rsidRPr="0042312F">
        <w:t xml:space="preserve">Czy w ramach oferty wsparcia można przewidzieć na etapie akceleracji rozwinięcie przez MŚP tzw. MVP (Minimum </w:t>
      </w:r>
      <w:proofErr w:type="spellStart"/>
      <w:r w:rsidRPr="0042312F">
        <w:t>Viable</w:t>
      </w:r>
      <w:proofErr w:type="spellEnd"/>
      <w:r w:rsidRPr="0042312F">
        <w:t xml:space="preserve"> Product) opracowanego na etapie inkubacji?</w:t>
      </w:r>
    </w:p>
    <w:bookmarkEnd w:id="3"/>
    <w:p w14:paraId="0CE5F5E7" w14:textId="151DE346" w:rsidR="006A5424" w:rsidRPr="0042312F" w:rsidRDefault="006A5424" w:rsidP="0042312F">
      <w:pPr>
        <w:numPr>
          <w:ilvl w:val="0"/>
          <w:numId w:val="3"/>
        </w:numPr>
        <w:spacing w:after="0" w:line="240" w:lineRule="auto"/>
      </w:pPr>
      <w:r w:rsidRPr="0042312F">
        <w:t>Czy zapis „</w:t>
      </w:r>
      <w:r w:rsidRPr="0042312F">
        <w:rPr>
          <w:i/>
          <w:iCs/>
        </w:rPr>
        <w:t>usługi doradcze, po okresie inkubacji (akceleracja)</w:t>
      </w:r>
      <w:r w:rsidRPr="0042312F">
        <w:t>” oznacza, że usługi doradcze mogą być świadczone na rzecz MŚP tylko na etapie akceleracji? Natomiast na etapie inkubacji, mają być świadczone wyłącznie inne wymienione wcześniej w tym punkcie usługi (prawna, księgowa, związane z promocją, ICT, mentoring, szkolenia), nie mogą być świadczone żadne inne usługi o charakterze doradczym?</w:t>
      </w:r>
    </w:p>
    <w:p w14:paraId="36A4A79B" w14:textId="4B2AA44A" w:rsidR="009B7231" w:rsidRPr="0042312F" w:rsidRDefault="009B7231" w:rsidP="0042312F">
      <w:pPr>
        <w:spacing w:after="0" w:line="240" w:lineRule="auto"/>
        <w:ind w:left="708"/>
        <w:rPr>
          <w:b/>
          <w:bCs/>
        </w:rPr>
      </w:pPr>
      <w:r w:rsidRPr="0042312F">
        <w:rPr>
          <w:b/>
          <w:bCs/>
        </w:rPr>
        <w:t>Odpowiedź:</w:t>
      </w:r>
    </w:p>
    <w:p w14:paraId="3DED84DF" w14:textId="2C9C18C6" w:rsidR="009B7231" w:rsidRPr="0042312F" w:rsidRDefault="00D5289D" w:rsidP="0042312F">
      <w:pPr>
        <w:spacing w:after="0" w:line="240" w:lineRule="auto"/>
        <w:ind w:left="708"/>
      </w:pPr>
      <w:r w:rsidRPr="0042312F">
        <w:t>Jeśli wskazana przez Państwa usługa MVP będzie zaplanowana w projekcie, będzie mogła stanowić koszt kwalifikowalny w projekcie</w:t>
      </w:r>
      <w:r w:rsidR="000D2760" w:rsidRPr="0042312F">
        <w:t xml:space="preserve"> w ramach procesu inkubacji</w:t>
      </w:r>
      <w:r w:rsidRPr="0042312F">
        <w:t>.</w:t>
      </w:r>
      <w:r w:rsidR="000D2760" w:rsidRPr="0042312F">
        <w:t xml:space="preserve"> Jeśli chodzi o proces akceleracji należy mieć na uwadze, że akceleracja po okresie inkubacji polega na świadczeniu usług doradczych, co definiuje zakres planowanego w tym obszarze zakresu usługi w okresie akceleracji. Wobec tego, usługa MVP w procesie akceleracji, nie będzie mogła stanowić kosztu kwalifikowalnego w projekcie.</w:t>
      </w:r>
    </w:p>
    <w:p w14:paraId="3C539255" w14:textId="3114477E" w:rsidR="00D5289D" w:rsidRPr="0042312F" w:rsidRDefault="00D5289D" w:rsidP="0042312F">
      <w:pPr>
        <w:spacing w:after="120" w:line="240" w:lineRule="auto"/>
        <w:ind w:left="709"/>
      </w:pPr>
      <w:r w:rsidRPr="0042312F">
        <w:t xml:space="preserve">Odnosząc się do kwestii usług doradczych, wskazana w </w:t>
      </w:r>
      <w:hyperlink r:id="rId5" w:history="1">
        <w:r w:rsidR="00520293" w:rsidRPr="0042312F">
          <w:rPr>
            <w:rStyle w:val="Hipercze"/>
          </w:rPr>
          <w:t>Wykazie pojęć i definicji</w:t>
        </w:r>
      </w:hyperlink>
      <w:r w:rsidR="00520293" w:rsidRPr="0042312F">
        <w:t xml:space="preserve">, </w:t>
      </w:r>
      <w:r w:rsidRPr="0042312F">
        <w:t>zamieszczony</w:t>
      </w:r>
      <w:r w:rsidR="00520293" w:rsidRPr="0042312F">
        <w:t>m</w:t>
      </w:r>
      <w:r w:rsidRPr="0042312F">
        <w:t xml:space="preserve"> na stronie programu FEWiM</w:t>
      </w:r>
      <w:r w:rsidR="00520293" w:rsidRPr="0042312F">
        <w:t xml:space="preserve"> ,definicja „akceleracji przedsiębiorstw” określa ją jako </w:t>
      </w:r>
      <w:r w:rsidR="00520293" w:rsidRPr="0042312F">
        <w:rPr>
          <w:i/>
          <w:iCs/>
        </w:rPr>
        <w:t xml:space="preserve">„specjalistyczne usługi doradcze związane z rozwojem firmy świadczone w okresie maksymalnie 1 roku po jej inkubacji”. </w:t>
      </w:r>
      <w:r w:rsidR="00520293" w:rsidRPr="0042312F">
        <w:t>Natomiast w ramach procesu inkubacji, Wnioskodawca powinien posiadać obligatoryjnie w swojej ofercie usługi, o których mowa w „Zasady kwalifikowalności wydatków (…)”, stanowiących Załącznik nr 7.1 do Regulaminu wyboru, jak również w definicji kryterium nr 18. Jednak katalog może być szerszy i może zawierać także specjalistyczne usługi doradcze. Oczywiście, ażeby otrzymać refundację kosztów związanych ze świadczeniem danej usługi, musi ona być zaplanowana w projekcie.</w:t>
      </w:r>
    </w:p>
    <w:bookmarkEnd w:id="2"/>
    <w:p w14:paraId="6D176460" w14:textId="43E60551" w:rsidR="006A5424" w:rsidRPr="0042312F" w:rsidRDefault="006A5424" w:rsidP="0042312F">
      <w:pPr>
        <w:pStyle w:val="Akapitzlist"/>
        <w:numPr>
          <w:ilvl w:val="0"/>
          <w:numId w:val="1"/>
        </w:numPr>
        <w:rPr>
          <w:sz w:val="22"/>
          <w:szCs w:val="22"/>
        </w:rPr>
      </w:pPr>
      <w:r w:rsidRPr="0042312F">
        <w:rPr>
          <w:sz w:val="22"/>
          <w:szCs w:val="22"/>
        </w:rPr>
        <w:t>W zał. Nr 4 do Regulaminu „</w:t>
      </w:r>
      <w:r w:rsidRPr="0042312F">
        <w:rPr>
          <w:i/>
          <w:iCs/>
          <w:sz w:val="22"/>
          <w:szCs w:val="22"/>
        </w:rPr>
        <w:t>Karta z definicjami kryteriów wyboru projektów</w:t>
      </w:r>
      <w:r w:rsidRPr="0042312F">
        <w:rPr>
          <w:sz w:val="22"/>
          <w:szCs w:val="22"/>
        </w:rPr>
        <w:t>…” w pkt. 20 jest zapis „</w:t>
      </w:r>
      <w:r w:rsidRPr="0042312F">
        <w:rPr>
          <w:i/>
          <w:iCs/>
          <w:sz w:val="22"/>
          <w:szCs w:val="22"/>
        </w:rPr>
        <w:t>Usługi w ramach inkubacji będą świadczone przedsiębiorstwom z sektora MŚP do osiągnięcia przez przedsiębiorstwo 3 roku funkcjonowania</w:t>
      </w:r>
      <w:r w:rsidRPr="0042312F">
        <w:rPr>
          <w:sz w:val="22"/>
          <w:szCs w:val="22"/>
        </w:rPr>
        <w:t xml:space="preserve">”. Czy zapis ten odnosi się również do akceleracji? </w:t>
      </w:r>
    </w:p>
    <w:p w14:paraId="6A66C02D" w14:textId="247D27E6" w:rsidR="00EE7CA6" w:rsidRPr="0042312F" w:rsidRDefault="00EE7CA6" w:rsidP="0042312F">
      <w:pPr>
        <w:spacing w:after="0" w:line="240" w:lineRule="auto"/>
        <w:ind w:left="720"/>
        <w:rPr>
          <w:b/>
          <w:bCs/>
        </w:rPr>
      </w:pPr>
      <w:r w:rsidRPr="0042312F">
        <w:rPr>
          <w:b/>
          <w:bCs/>
        </w:rPr>
        <w:t xml:space="preserve">Odpowiedź: </w:t>
      </w:r>
    </w:p>
    <w:p w14:paraId="7070702E" w14:textId="4AD91983" w:rsidR="00EE7CA6" w:rsidRPr="0042312F" w:rsidRDefault="00EE7CA6" w:rsidP="0042312F">
      <w:pPr>
        <w:spacing w:after="120" w:line="240" w:lineRule="auto"/>
        <w:ind w:left="720"/>
      </w:pPr>
      <w:r w:rsidRPr="0042312F">
        <w:t>Zapis odnosi się jedynie do procesu inkubacji. Proces akceleracji może odbywać się po ukończeniu przez przedsiębiorstwo 3 roku funkcjonowania i odbywać się w okresie do 1 roku po zakończeniu inkubacji.</w:t>
      </w:r>
    </w:p>
    <w:p w14:paraId="35729F53" w14:textId="646C835E" w:rsidR="006A5424" w:rsidRPr="0042312F" w:rsidRDefault="006A5424" w:rsidP="0042312F">
      <w:pPr>
        <w:pStyle w:val="Akapitzlist"/>
        <w:numPr>
          <w:ilvl w:val="0"/>
          <w:numId w:val="1"/>
        </w:numPr>
        <w:rPr>
          <w:sz w:val="22"/>
          <w:szCs w:val="22"/>
        </w:rPr>
      </w:pPr>
      <w:bookmarkStart w:id="5" w:name="_Hlk181175192"/>
      <w:r w:rsidRPr="0042312F">
        <w:rPr>
          <w:sz w:val="22"/>
          <w:szCs w:val="22"/>
        </w:rPr>
        <w:t>W zał. Nr 4 do Regulaminu „</w:t>
      </w:r>
      <w:r w:rsidRPr="0042312F">
        <w:rPr>
          <w:i/>
          <w:iCs/>
          <w:sz w:val="22"/>
          <w:szCs w:val="22"/>
        </w:rPr>
        <w:t>Karta z definicjami kryteriów wyboru projektów…</w:t>
      </w:r>
      <w:r w:rsidRPr="0042312F">
        <w:rPr>
          <w:sz w:val="22"/>
          <w:szCs w:val="22"/>
        </w:rPr>
        <w:t>” w pkt. 20 jest zapis „</w:t>
      </w:r>
      <w:r w:rsidRPr="0042312F">
        <w:rPr>
          <w:i/>
          <w:iCs/>
          <w:sz w:val="22"/>
          <w:szCs w:val="22"/>
        </w:rPr>
        <w:t>Akceleracja polegająca na świadczeniu usług doradczych, po okresie inkubacji, będzie odbywać się w okresie do 1 roku po zakończeniu inkubacji</w:t>
      </w:r>
      <w:r w:rsidRPr="0042312F">
        <w:rPr>
          <w:sz w:val="22"/>
          <w:szCs w:val="22"/>
        </w:rPr>
        <w:t xml:space="preserve">”. Czy oznacza on, że w ramach projektu nie można przewidzieć działań, które polegałyby wyłącznie na akceleracji MŚP, </w:t>
      </w:r>
      <w:r w:rsidRPr="0042312F">
        <w:rPr>
          <w:sz w:val="22"/>
          <w:szCs w:val="22"/>
        </w:rPr>
        <w:lastRenderedPageBreak/>
        <w:t>zakwalifikowanych do udziału w projekcie? Czy zacytowany powyżej zapis oznacza, że w ramach projektu możliwe jest jedynie wsparcie MŚP w formie ich inkubacji lub na łącznym inkubowaniu a następnie akcelerowaniu MŚP, nie ma zaś możliwości tylko akcelerowania MŚP?</w:t>
      </w:r>
    </w:p>
    <w:p w14:paraId="31F89287" w14:textId="571BE9E9" w:rsidR="003321FF" w:rsidRPr="0042312F" w:rsidRDefault="003321FF" w:rsidP="0042312F">
      <w:pPr>
        <w:spacing w:after="0" w:line="240" w:lineRule="auto"/>
        <w:ind w:left="720"/>
        <w:rPr>
          <w:b/>
          <w:bCs/>
        </w:rPr>
      </w:pPr>
      <w:r w:rsidRPr="0042312F">
        <w:rPr>
          <w:b/>
          <w:bCs/>
        </w:rPr>
        <w:t>Odpowiedź:</w:t>
      </w:r>
    </w:p>
    <w:p w14:paraId="64E964E9" w14:textId="5F423616" w:rsidR="003321FF" w:rsidRPr="0042312F" w:rsidRDefault="003321FF" w:rsidP="0042312F">
      <w:pPr>
        <w:spacing w:line="240" w:lineRule="auto"/>
        <w:ind w:left="708"/>
      </w:pPr>
      <w:r w:rsidRPr="0042312F">
        <w:t xml:space="preserve">Zgodnie z zakresem wsparcia określonym w SZOP dla działania 1.8 schemat A typ 2, tj. </w:t>
      </w:r>
      <w:r w:rsidRPr="0042312F">
        <w:rPr>
          <w:i/>
          <w:iCs/>
        </w:rPr>
        <w:t>Inkubowanie przedsiębiorstw oraz dalsza akceleracja po okresie inkubacji z możliwością organizacji wydarzenia przedstawiającego firmy korzystające z usług inkubacji i akceleracji, prezentujące modele biznesowe w celu pozyskania inwestorów</w:t>
      </w:r>
      <w:r w:rsidRPr="0042312F">
        <w:t>, akceleracją mogą być objęte jedynie przedsiębiorstwa, które wcześniej były objęte procesem inkubacji w ramach projektu. Projekt może obejmować więc proces od inkubacji do akceleracji lub samej inkubacji. Nie może obejmować samej akceleracji</w:t>
      </w:r>
    </w:p>
    <w:bookmarkEnd w:id="5"/>
    <w:p w14:paraId="09571516" w14:textId="0472205F" w:rsidR="006A5424" w:rsidRPr="0042312F" w:rsidRDefault="006A5424" w:rsidP="0042312F">
      <w:pPr>
        <w:pStyle w:val="Akapitzlist"/>
        <w:numPr>
          <w:ilvl w:val="0"/>
          <w:numId w:val="1"/>
        </w:numPr>
        <w:rPr>
          <w:sz w:val="22"/>
          <w:szCs w:val="22"/>
        </w:rPr>
      </w:pPr>
      <w:r w:rsidRPr="0042312F">
        <w:rPr>
          <w:sz w:val="22"/>
          <w:szCs w:val="22"/>
        </w:rPr>
        <w:t>W zał. Nr 4 do Regulaminu „Karta z definicjami kryteriów wyboru projektów…” w pkt. 20 jest zapis „</w:t>
      </w:r>
      <w:r w:rsidRPr="0042312F">
        <w:rPr>
          <w:i/>
          <w:iCs/>
          <w:sz w:val="22"/>
          <w:szCs w:val="22"/>
        </w:rPr>
        <w:t>Przedsiębiorstwo prowadzące działalność zarówno jako osoba fizyczna prowadząca działalność gospodarczą jak też spółka prawa handlowego może skorzystać z usług inkubatora tylko 1 raz</w:t>
      </w:r>
      <w:r w:rsidRPr="0042312F">
        <w:rPr>
          <w:sz w:val="22"/>
          <w:szCs w:val="22"/>
        </w:rPr>
        <w:t xml:space="preserve">”. Czy w świetle powyższego zapisu w ramach projektu będzie dopuszczalne wsparcie MŚP, które wpierw będą w ramach projektu inkubowane a następnie akcelerowane? </w:t>
      </w:r>
    </w:p>
    <w:p w14:paraId="295093F6" w14:textId="6A6057DE" w:rsidR="009B7231" w:rsidRPr="0042312F" w:rsidRDefault="009B7231" w:rsidP="0042312F">
      <w:pPr>
        <w:spacing w:after="0" w:line="240" w:lineRule="auto"/>
        <w:ind w:left="720"/>
        <w:rPr>
          <w:b/>
          <w:bCs/>
        </w:rPr>
      </w:pPr>
      <w:r w:rsidRPr="0042312F">
        <w:rPr>
          <w:b/>
          <w:bCs/>
        </w:rPr>
        <w:t>Odpowiedź:</w:t>
      </w:r>
    </w:p>
    <w:p w14:paraId="0D17C4BB" w14:textId="521F75E9" w:rsidR="009B7231" w:rsidRPr="0042312F" w:rsidRDefault="009B7231" w:rsidP="0042312F">
      <w:pPr>
        <w:spacing w:after="120" w:line="240" w:lineRule="auto"/>
        <w:ind w:left="720"/>
      </w:pPr>
      <w:r w:rsidRPr="0042312F">
        <w:t xml:space="preserve">W zapisie chodzi o to, że jeśli osoba fizyczna prowadząca działalność gospodarczą korzysta z procesu inkubowania to spółka, w której ww. osoba jest wspólnikiem nie może korzystać z procesu inkubacji w ramach tego samego projektu. </w:t>
      </w:r>
    </w:p>
    <w:p w14:paraId="6CD0AFFA" w14:textId="19C869C6" w:rsidR="006A5424" w:rsidRPr="0042312F" w:rsidRDefault="006A5424" w:rsidP="0042312F">
      <w:pPr>
        <w:pStyle w:val="Akapitzlist"/>
        <w:numPr>
          <w:ilvl w:val="0"/>
          <w:numId w:val="1"/>
        </w:numPr>
        <w:rPr>
          <w:sz w:val="22"/>
          <w:szCs w:val="22"/>
        </w:rPr>
      </w:pPr>
      <w:r w:rsidRPr="0042312F">
        <w:rPr>
          <w:sz w:val="22"/>
          <w:szCs w:val="22"/>
        </w:rPr>
        <w:t>W zał. Nr 4 do Regulaminu „</w:t>
      </w:r>
      <w:r w:rsidRPr="0042312F">
        <w:rPr>
          <w:i/>
          <w:iCs/>
          <w:sz w:val="22"/>
          <w:szCs w:val="22"/>
        </w:rPr>
        <w:t>Karta z definicjami kryteriów wyboru projektów…</w:t>
      </w:r>
      <w:r w:rsidRPr="0042312F">
        <w:rPr>
          <w:sz w:val="22"/>
          <w:szCs w:val="22"/>
        </w:rPr>
        <w:t>” pkt. 23 odnosi się do potencjału Wnioskodawcy. Jedno z pytań sprawdzających jest następujące: „</w:t>
      </w:r>
      <w:r w:rsidRPr="0042312F">
        <w:rPr>
          <w:i/>
          <w:iCs/>
          <w:sz w:val="22"/>
          <w:szCs w:val="22"/>
        </w:rPr>
        <w:t>Czy Wnioskodawca wykazał, iż usługi w ramach projektu będą świadczone przez kadrę o wysokich kompetencjach merytorycznych, profesjonalnych i eksperckich, których kwalifikacje i doświadczenie gwarantują wysoką jakość świadczenia usług w zakresie realizacji projektu</w:t>
      </w:r>
      <w:r w:rsidRPr="0042312F">
        <w:rPr>
          <w:sz w:val="22"/>
          <w:szCs w:val="22"/>
        </w:rPr>
        <w:t xml:space="preserve">” W jaki sposób będzie to weryfikowane? Czy Wnioskodawca ma na chwilę składania wniosku o dofinansowanie wskazać konkretne osoby, które będą świadczyły dane usług, wraz z podaniem ich kwalifikacji, które np. są pracownikami Wnioskodawcy, czy też może dookreślić minimalne kwalifikacje jakie osoby świadczące dane usługi będą musiały posiadać? Czy jako potwierdzenie dysponowania wykwalifikowanymi osobami, wystarczy list intencyjny, wskazujący gotowość do świadczenia usług w ramach projektu? Jest to kwestia szczególnie istotna w odniesieniu do usług specjalistycznych, wymagających wysoko wykwalifikowanych specjalistów, którzy współpracują z IOB, ale wyjątkowo są ich etatowymi pracownikami.  </w:t>
      </w:r>
    </w:p>
    <w:p w14:paraId="388E8A40" w14:textId="7EC11DA3" w:rsidR="000540DB" w:rsidRPr="0042312F" w:rsidRDefault="000540DB" w:rsidP="0042312F">
      <w:pPr>
        <w:spacing w:after="0" w:line="240" w:lineRule="auto"/>
        <w:ind w:left="720"/>
        <w:rPr>
          <w:b/>
          <w:bCs/>
        </w:rPr>
      </w:pPr>
      <w:r w:rsidRPr="0042312F">
        <w:rPr>
          <w:b/>
          <w:bCs/>
        </w:rPr>
        <w:t>Odpowiedź:</w:t>
      </w:r>
    </w:p>
    <w:p w14:paraId="1F642C40" w14:textId="4C7FA44F" w:rsidR="000540DB" w:rsidRPr="0042312F" w:rsidRDefault="00724881" w:rsidP="0042312F">
      <w:pPr>
        <w:spacing w:after="120" w:line="240" w:lineRule="auto"/>
        <w:ind w:left="720"/>
      </w:pPr>
      <w:r w:rsidRPr="0042312F">
        <w:t>Wnioskodawca już na etapie aplikowania powinien wykazać, że dysponuje potencjałem niezbędnym do efektywnego wsparcia firm w początkowej fazie rozwoju (kryterium nr 23), tj. m.in. wykazać, że usługi w ramach projektu będą świadczone przez kadrę o wysokich kompetencjach merytorycznych, profesjonalnych i eksperckich, których kwalifikacje i doświadczenie gwarantują wysoką jakość świadczenia usług w zakresie realizacji projektu. Wobec tego, już na etapie aplikowania, Wnioskodawca powinien potwierdzić, że dysponuje kadrą (własną lub zewnętrzną) niezbędną do świadczenia zaplanowanych w projekcie usług, nie zaś wyłaniać ją dopiero w trakcie realizacji projektu. W przypadku, gdy będzie to kadra zewnętrzna, należy przedstawić np.: umowy o współpracy, listy intencyjne lub inne dokumenty wskazujące gotowość do świadczenia usług w ramach projektu.</w:t>
      </w:r>
    </w:p>
    <w:p w14:paraId="1CFBF27F" w14:textId="61025D5A" w:rsidR="006A5424" w:rsidRPr="0042312F" w:rsidRDefault="006A5424" w:rsidP="0042312F">
      <w:pPr>
        <w:pStyle w:val="Akapitzlist"/>
        <w:numPr>
          <w:ilvl w:val="0"/>
          <w:numId w:val="1"/>
        </w:numPr>
        <w:rPr>
          <w:sz w:val="22"/>
          <w:szCs w:val="22"/>
        </w:rPr>
      </w:pPr>
      <w:bookmarkStart w:id="6" w:name="_Hlk182678961"/>
      <w:r w:rsidRPr="0042312F">
        <w:rPr>
          <w:sz w:val="22"/>
          <w:szCs w:val="22"/>
        </w:rPr>
        <w:t>Czy w świetle zapisów zał. Nr 4 do Regulaminu „</w:t>
      </w:r>
      <w:r w:rsidRPr="0042312F">
        <w:rPr>
          <w:i/>
          <w:iCs/>
          <w:sz w:val="22"/>
          <w:szCs w:val="22"/>
        </w:rPr>
        <w:t>Karta z definicjami kryteriów wyboru projektów…</w:t>
      </w:r>
      <w:r w:rsidRPr="0042312F">
        <w:rPr>
          <w:sz w:val="22"/>
          <w:szCs w:val="22"/>
        </w:rPr>
        <w:t xml:space="preserve">” w szczególności pkt. 20 i 23 możliwe będzie zlecenie MVP podmiotom zewnętrznym, które dysponują wysoce wyspecjalizowaną wiedzą i kompetencjami, częstokroć wymaganymi przy opracowaniu MVP dla inkubowanych startupów. </w:t>
      </w:r>
    </w:p>
    <w:p w14:paraId="32C43830" w14:textId="7E33BE88" w:rsidR="000540DB" w:rsidRPr="0042312F" w:rsidRDefault="000540DB" w:rsidP="0042312F">
      <w:pPr>
        <w:spacing w:after="0" w:line="240" w:lineRule="auto"/>
        <w:ind w:left="720"/>
        <w:rPr>
          <w:b/>
          <w:bCs/>
        </w:rPr>
      </w:pPr>
      <w:r w:rsidRPr="0042312F">
        <w:rPr>
          <w:b/>
          <w:bCs/>
        </w:rPr>
        <w:t>Odpowiedź:</w:t>
      </w:r>
    </w:p>
    <w:p w14:paraId="22216703" w14:textId="40DC8C2C" w:rsidR="000540DB" w:rsidRPr="0042312F" w:rsidRDefault="00724881" w:rsidP="0042312F">
      <w:pPr>
        <w:pStyle w:val="Akapitzlist"/>
        <w:spacing w:after="120"/>
        <w:rPr>
          <w:sz w:val="22"/>
          <w:szCs w:val="22"/>
          <w:lang w:eastAsia="en-US"/>
        </w:rPr>
      </w:pPr>
      <w:r w:rsidRPr="0042312F">
        <w:rPr>
          <w:sz w:val="22"/>
          <w:szCs w:val="22"/>
          <w:lang w:eastAsia="en-US"/>
        </w:rPr>
        <w:t>W ramach projektu, zgodnie z „</w:t>
      </w:r>
      <w:r w:rsidRPr="0042312F">
        <w:rPr>
          <w:i/>
          <w:iCs/>
          <w:sz w:val="22"/>
          <w:szCs w:val="22"/>
          <w:lang w:eastAsia="en-US"/>
        </w:rPr>
        <w:t>Zasadami kwalifikowalności (…”)</w:t>
      </w:r>
      <w:r w:rsidRPr="0042312F">
        <w:rPr>
          <w:sz w:val="22"/>
          <w:szCs w:val="22"/>
          <w:lang w:eastAsia="en-US"/>
        </w:rPr>
        <w:t xml:space="preserve"> stanowiącymi Załącznik nr 7.1 do Regulaminu wyboru, kwalifikowalne będą koszty wynagrodzenia własnej kadry – w </w:t>
      </w:r>
      <w:r w:rsidRPr="0042312F">
        <w:rPr>
          <w:sz w:val="22"/>
          <w:szCs w:val="22"/>
          <w:lang w:eastAsia="en-US"/>
        </w:rPr>
        <w:lastRenderedPageBreak/>
        <w:t>przypadku realizacji usług przez pracowników Beneficjenta lub koszty zatrudnienia eksperta zewnętrznego. Wobec tego, możliwe jest świadczenie usług w ramach projektu przez ekspertów zewnętrznych.</w:t>
      </w:r>
      <w:bookmarkEnd w:id="6"/>
    </w:p>
    <w:p w14:paraId="0892C28A" w14:textId="77777777" w:rsidR="006A5424" w:rsidRPr="0042312F" w:rsidRDefault="006A5424" w:rsidP="0042312F">
      <w:pPr>
        <w:pStyle w:val="Akapitzlist"/>
        <w:numPr>
          <w:ilvl w:val="0"/>
          <w:numId w:val="1"/>
        </w:numPr>
        <w:rPr>
          <w:sz w:val="22"/>
          <w:szCs w:val="22"/>
        </w:rPr>
      </w:pPr>
      <w:r w:rsidRPr="0042312F">
        <w:rPr>
          <w:sz w:val="22"/>
          <w:szCs w:val="22"/>
        </w:rPr>
        <w:t xml:space="preserve">Czy dla projektu składanego w ramach przedmiotowego naboru konieczne jest uzyskanie następujących załączników: </w:t>
      </w:r>
    </w:p>
    <w:p w14:paraId="013DD7CB" w14:textId="77777777" w:rsidR="006A5424" w:rsidRPr="0042312F" w:rsidRDefault="006A5424" w:rsidP="0042312F">
      <w:pPr>
        <w:numPr>
          <w:ilvl w:val="0"/>
          <w:numId w:val="4"/>
        </w:numPr>
        <w:spacing w:after="0" w:line="240" w:lineRule="auto"/>
      </w:pPr>
      <w:r w:rsidRPr="0042312F">
        <w:t>Formularz w zakresie oceny oddziaływania na środowisko z uwzględnieniem zasady „Nie czyń znaczącej szkody” (zasady DNSH);</w:t>
      </w:r>
    </w:p>
    <w:p w14:paraId="3C8C27F1" w14:textId="77777777" w:rsidR="006A5424" w:rsidRPr="0042312F" w:rsidRDefault="006A5424" w:rsidP="0042312F">
      <w:pPr>
        <w:numPr>
          <w:ilvl w:val="0"/>
          <w:numId w:val="4"/>
        </w:numPr>
        <w:spacing w:after="0" w:line="240" w:lineRule="auto"/>
      </w:pPr>
      <w:r w:rsidRPr="0042312F">
        <w:t>Dokument wydany przez organ odpowiedzialny za monitorowanie obszarów Natura 2000;</w:t>
      </w:r>
    </w:p>
    <w:p w14:paraId="67E50DEF" w14:textId="1BFB5F13" w:rsidR="006A5424" w:rsidRPr="0042312F" w:rsidRDefault="006A5424" w:rsidP="0042312F">
      <w:pPr>
        <w:numPr>
          <w:ilvl w:val="0"/>
          <w:numId w:val="4"/>
        </w:numPr>
        <w:spacing w:after="0" w:line="240" w:lineRule="auto"/>
      </w:pPr>
      <w:r w:rsidRPr="0042312F">
        <w:t>Dokument wydany przez organ odpowiedzialny za gospodarkę wodną.</w:t>
      </w:r>
    </w:p>
    <w:p w14:paraId="157B1B98" w14:textId="03F7B617" w:rsidR="009B7231" w:rsidRPr="0042312F" w:rsidRDefault="009B7231" w:rsidP="0042312F">
      <w:pPr>
        <w:spacing w:after="0" w:line="240" w:lineRule="auto"/>
        <w:ind w:left="360" w:firstLine="348"/>
        <w:rPr>
          <w:b/>
          <w:bCs/>
        </w:rPr>
      </w:pPr>
      <w:r w:rsidRPr="0042312F">
        <w:rPr>
          <w:b/>
          <w:bCs/>
        </w:rPr>
        <w:t>Odpowiedź:</w:t>
      </w:r>
    </w:p>
    <w:p w14:paraId="51113A2A" w14:textId="330624B7" w:rsidR="009B7231" w:rsidRPr="0042312F" w:rsidRDefault="006B584F" w:rsidP="0042312F">
      <w:pPr>
        <w:spacing w:after="120" w:line="240" w:lineRule="auto"/>
        <w:ind w:left="708"/>
      </w:pPr>
      <w:r w:rsidRPr="0042312F">
        <w:t xml:space="preserve">Zgodnie z Załącznikiem nr 3 do Regulaminu wyboru, obowiązkowym załącznikiem wymaganym dla projektów o charakterze infrastrukturalnym i nieinfrastrukturalnym jest Załącznik 2.1, tj. </w:t>
      </w:r>
      <w:r w:rsidRPr="0042312F">
        <w:rPr>
          <w:i/>
          <w:iCs/>
        </w:rPr>
        <w:t>Formularz w zakresie oceny oddziaływania na środowisko z uwzględnieniem zasady „Nie czyń znaczącej szkody” (zasady DNSH)</w:t>
      </w:r>
      <w:r w:rsidRPr="0042312F">
        <w:t xml:space="preserve">, który wypełnia Wnioskodawca. Pozostałe załączniki dotyczą projektów infrastrukturalnych i nie są wymagane w ramach projektów realizowanych w działaniu </w:t>
      </w:r>
      <w:r w:rsidR="000540DB" w:rsidRPr="0042312F">
        <w:t>1.8 schemat A typ 2</w:t>
      </w:r>
      <w:r w:rsidRPr="0042312F">
        <w:t>.</w:t>
      </w:r>
    </w:p>
    <w:p w14:paraId="595476C5" w14:textId="3FF17B6A" w:rsidR="006A5424" w:rsidRPr="0042312F" w:rsidRDefault="006A5424" w:rsidP="0042312F">
      <w:pPr>
        <w:pStyle w:val="Akapitzlist"/>
        <w:numPr>
          <w:ilvl w:val="0"/>
          <w:numId w:val="1"/>
        </w:numPr>
        <w:rPr>
          <w:sz w:val="22"/>
          <w:szCs w:val="22"/>
        </w:rPr>
      </w:pPr>
      <w:r w:rsidRPr="0042312F">
        <w:rPr>
          <w:sz w:val="22"/>
          <w:szCs w:val="22"/>
        </w:rPr>
        <w:t>Czy w ramach przedmiotowego konkursu, Wnioskodawcę należy rozumieć jako Lidera projektu czy też jako całe konsorcjum /partnerstwo utworzone w celu jego realizacji. Czy kryterium oceny nr 22 „Wnioskodawca posiada doświadczenie w zakresie świadczenia usług na rzecz przedsiębiorstw” zostanie spełnione w sytuacji kiedy to całe konsorcjum / partnerstwo osiągnie wartość min. 15 usług średniorocznie wyświadczonych przedsiębiorstwom w okresie 2 lat poprzedzających dzień ogłoszenia naboru?</w:t>
      </w:r>
    </w:p>
    <w:p w14:paraId="2E185EC3" w14:textId="5AF8E723" w:rsidR="00C1787E" w:rsidRPr="0042312F" w:rsidRDefault="00C1787E" w:rsidP="0042312F">
      <w:pPr>
        <w:spacing w:after="0" w:line="240" w:lineRule="auto"/>
        <w:ind w:left="720"/>
        <w:rPr>
          <w:b/>
          <w:bCs/>
        </w:rPr>
      </w:pPr>
      <w:r w:rsidRPr="0042312F">
        <w:rPr>
          <w:b/>
          <w:bCs/>
        </w:rPr>
        <w:t>Odpowiedź:</w:t>
      </w:r>
    </w:p>
    <w:p w14:paraId="32C0A31B" w14:textId="2120A28D" w:rsidR="000540DB" w:rsidRPr="0042312F" w:rsidRDefault="00724881" w:rsidP="0042312F">
      <w:pPr>
        <w:spacing w:after="120" w:line="240" w:lineRule="auto"/>
        <w:ind w:left="720"/>
      </w:pPr>
      <w:r w:rsidRPr="0042312F">
        <w:t>W projekcie partnerskim, Wnioskodawca jak i wszyscy Partnerzy powinni wpisywać się w katalog beneficjentów uprawnionych do aplikowania w ramach naboru</w:t>
      </w:r>
      <w:r w:rsidR="009950D9" w:rsidRPr="0042312F">
        <w:t>.</w:t>
      </w:r>
      <w:r w:rsidRPr="0042312F">
        <w:t xml:space="preserve"> </w:t>
      </w:r>
      <w:r w:rsidR="009950D9" w:rsidRPr="0042312F">
        <w:t>W</w:t>
      </w:r>
      <w:r w:rsidRPr="0042312F">
        <w:t xml:space="preserve"> przypadku przedmiotowego naboru</w:t>
      </w:r>
      <w:r w:rsidR="009950D9" w:rsidRPr="0042312F">
        <w:t xml:space="preserve">, są to </w:t>
      </w:r>
      <w:r w:rsidRPr="0042312F">
        <w:t>Instytucj</w:t>
      </w:r>
      <w:r w:rsidR="009950D9" w:rsidRPr="0042312F">
        <w:t>e</w:t>
      </w:r>
      <w:r w:rsidRPr="0042312F">
        <w:t xml:space="preserve"> Otoczenia Biznesu</w:t>
      </w:r>
      <w:r w:rsidR="009950D9" w:rsidRPr="0042312F">
        <w:t>. Natomiast jeśli chodzi o kryterium nr 22 „Wnioskodawca posiada doświadczenie w zakresie świadczenia usług na rzecz przedsiębiorstw”, zgodnie z jego definicją, musi ono zostać spełnione przez Wnioskodawcę, czyli Partnera wiodącego w projekcie.</w:t>
      </w:r>
    </w:p>
    <w:p w14:paraId="76A52E66" w14:textId="3E7EFB82" w:rsidR="00623FA9" w:rsidRPr="0042312F" w:rsidRDefault="006A5424" w:rsidP="0042312F">
      <w:pPr>
        <w:pStyle w:val="Akapitzlist"/>
        <w:numPr>
          <w:ilvl w:val="0"/>
          <w:numId w:val="1"/>
        </w:numPr>
        <w:rPr>
          <w:sz w:val="22"/>
          <w:szCs w:val="22"/>
        </w:rPr>
      </w:pPr>
      <w:bookmarkStart w:id="7" w:name="_Hlk181182205"/>
      <w:r w:rsidRPr="0042312F">
        <w:rPr>
          <w:sz w:val="22"/>
          <w:szCs w:val="22"/>
        </w:rPr>
        <w:t>Czy w ramach procesów realizowanych w projekcie możliwa jest inkubacja/akceleracja przedsiębiorstw społecznych i czy będzie to uznane za spełnienie warunku, o którym mowa w regulaminie konkursu § 5 ust. 5 pkt 4 "Preferowane będą projekty: w wyniku których powstaną usługi lub produkty przyczyniające się do zwiększenia równości, włączenia społecznego, niedyskryminacji"?  Jako przedsiębiorstwo społeczne należy rozumieć podmiot ekonomii społecznej posiadający status przedsiębiorstwa społecznego w rozumieniu ustawy o ekonomii społecznej (art. 3 ust. 1).</w:t>
      </w:r>
    </w:p>
    <w:p w14:paraId="429FF7FD" w14:textId="77777777" w:rsidR="00724308" w:rsidRPr="0042312F" w:rsidRDefault="00623FA9" w:rsidP="0042312F">
      <w:pPr>
        <w:pStyle w:val="Akapitzlist"/>
        <w:rPr>
          <w:b/>
          <w:bCs/>
          <w:sz w:val="22"/>
          <w:szCs w:val="22"/>
        </w:rPr>
      </w:pPr>
      <w:r w:rsidRPr="0042312F">
        <w:rPr>
          <w:b/>
          <w:bCs/>
          <w:sz w:val="22"/>
          <w:szCs w:val="22"/>
        </w:rPr>
        <w:t>Odpowiedź:</w:t>
      </w:r>
    </w:p>
    <w:p w14:paraId="5A2FCF5A" w14:textId="0BDC905D" w:rsidR="00724308" w:rsidRPr="0042312F" w:rsidRDefault="00724308" w:rsidP="0042312F">
      <w:pPr>
        <w:pStyle w:val="Akapitzlist"/>
        <w:rPr>
          <w:rFonts w:asciiTheme="minorHAnsi" w:eastAsiaTheme="minorHAnsi" w:hAnsiTheme="minorHAnsi" w:cstheme="minorBidi"/>
          <w:sz w:val="22"/>
          <w:szCs w:val="22"/>
          <w:lang w:eastAsia="en-US"/>
          <w14:ligatures w14:val="none"/>
        </w:rPr>
      </w:pPr>
      <w:r w:rsidRPr="0042312F">
        <w:rPr>
          <w:rFonts w:asciiTheme="minorHAnsi" w:eastAsiaTheme="minorHAnsi" w:hAnsiTheme="minorHAnsi" w:cstheme="minorBidi"/>
          <w:sz w:val="22"/>
          <w:szCs w:val="22"/>
          <w:lang w:eastAsia="en-US"/>
          <w14:ligatures w14:val="none"/>
        </w:rPr>
        <w:t>Jeśli przedsiębiorstwo społeczne spełni definicję MŚP i będzie przedsiębiorstwem w początkowej fazie rozwoju (do 3 roku funkcjonowania), będzie mogło być objęte procesem inkubacji/akceleracji. Zbadanie powyższego spoczywać będzie na Beneficjencie, podczas procesu rekrutacji. Odnosząc się do kwestii preferencji dla projektów, w wyniku których powstaną usługi lub produkty przyczyniające się do zwiększenia równości, włączenia społecznego, niedyskryminacji, w ramach oceny projektu, przyznawane będą punkty (kryterium 35)</w:t>
      </w:r>
      <w:r w:rsidR="00351BEC" w:rsidRPr="0042312F">
        <w:rPr>
          <w:rFonts w:asciiTheme="minorHAnsi" w:eastAsiaTheme="minorHAnsi" w:hAnsiTheme="minorHAnsi" w:cstheme="minorBidi"/>
          <w:sz w:val="22"/>
          <w:szCs w:val="22"/>
          <w:lang w:eastAsia="en-US"/>
          <w14:ligatures w14:val="none"/>
        </w:rPr>
        <w:t>,</w:t>
      </w:r>
      <w:r w:rsidRPr="0042312F">
        <w:rPr>
          <w:rFonts w:asciiTheme="minorHAnsi" w:eastAsiaTheme="minorHAnsi" w:hAnsiTheme="minorHAnsi" w:cstheme="minorBidi"/>
          <w:sz w:val="22"/>
          <w:szCs w:val="22"/>
          <w:lang w:eastAsia="en-US"/>
          <w14:ligatures w14:val="none"/>
        </w:rPr>
        <w:t xml:space="preserve"> jeśli Wnioskodawca wykaże i uzasadni, że świadczone w ramach projektu usługi przyczyniają się do zwiększenia równości, włączenia społecznego i niedyskryminacji. Tak więc, jeśli Wnioskodawca wykaże, że świadczenie usług przedsiębiorstwu społecznemu przyczyni się do powyższego, uzyska punkt w przedmiotowym kryterium.</w:t>
      </w:r>
    </w:p>
    <w:bookmarkEnd w:id="1"/>
    <w:p w14:paraId="6225751C" w14:textId="640B1AB9" w:rsidR="00623FA9" w:rsidRPr="0042312F" w:rsidRDefault="00623FA9" w:rsidP="0042312F">
      <w:pPr>
        <w:pStyle w:val="Akapitzlist"/>
        <w:rPr>
          <w:rFonts w:asciiTheme="minorHAnsi" w:eastAsiaTheme="minorHAnsi" w:hAnsiTheme="minorHAnsi" w:cstheme="minorBidi"/>
          <w:sz w:val="22"/>
          <w:szCs w:val="22"/>
          <w:lang w:eastAsia="en-US"/>
          <w14:ligatures w14:val="none"/>
        </w:rPr>
      </w:pPr>
    </w:p>
    <w:p w14:paraId="69C0AD53" w14:textId="4773CEDC" w:rsidR="009E78ED" w:rsidRPr="0042312F" w:rsidRDefault="009E78ED" w:rsidP="0042312F">
      <w:pPr>
        <w:pStyle w:val="Akapitzlist"/>
        <w:numPr>
          <w:ilvl w:val="0"/>
          <w:numId w:val="1"/>
        </w:numPr>
        <w:rPr>
          <w:sz w:val="22"/>
          <w:szCs w:val="22"/>
          <w:lang w:eastAsia="en-US"/>
        </w:rPr>
      </w:pPr>
      <w:bookmarkStart w:id="8" w:name="_Hlk181971165"/>
      <w:bookmarkEnd w:id="7"/>
      <w:r w:rsidRPr="0042312F">
        <w:rPr>
          <w:sz w:val="22"/>
          <w:szCs w:val="22"/>
          <w:lang w:eastAsia="en-US"/>
        </w:rPr>
        <w:t xml:space="preserve">W zał. Nr 4 do Regulaminu „Karta z definicjami kryteriów wyboru projektów…”  w pkt. 22 i 26 jest zapis: „Ocenie podlega średnioroczna liczba przedsiębiorstw, którym IOB wyświadczył usługi w okresie 2 lat poprzedzających dzień ogłoszenia naboru, potwierdzona zaświadczeniami o udzielonej pomocy de </w:t>
      </w:r>
      <w:proofErr w:type="spellStart"/>
      <w:r w:rsidRPr="0042312F">
        <w:rPr>
          <w:sz w:val="22"/>
          <w:szCs w:val="22"/>
          <w:lang w:eastAsia="en-US"/>
        </w:rPr>
        <w:t>minimis</w:t>
      </w:r>
      <w:proofErr w:type="spellEnd"/>
      <w:r w:rsidRPr="0042312F">
        <w:rPr>
          <w:sz w:val="22"/>
          <w:szCs w:val="22"/>
          <w:lang w:eastAsia="en-US"/>
        </w:rPr>
        <w:t xml:space="preserve"> lub wystawionymi fakturami.” Proszę </w:t>
      </w:r>
      <w:r w:rsidRPr="0042312F">
        <w:rPr>
          <w:sz w:val="22"/>
          <w:szCs w:val="22"/>
          <w:lang w:eastAsia="en-US"/>
        </w:rPr>
        <w:lastRenderedPageBreak/>
        <w:t xml:space="preserve">wskazać, na jakiej podstawie proszą Państwo o kopie zaświadczeń de </w:t>
      </w:r>
      <w:proofErr w:type="spellStart"/>
      <w:r w:rsidRPr="0042312F">
        <w:rPr>
          <w:sz w:val="22"/>
          <w:szCs w:val="22"/>
          <w:lang w:eastAsia="en-US"/>
        </w:rPr>
        <w:t>minimis</w:t>
      </w:r>
      <w:proofErr w:type="spellEnd"/>
      <w:r w:rsidRPr="0042312F">
        <w:rPr>
          <w:sz w:val="22"/>
          <w:szCs w:val="22"/>
          <w:lang w:eastAsia="en-US"/>
        </w:rPr>
        <w:t xml:space="preserve">. Wiemy, że limit otrzymanej pomocy de </w:t>
      </w:r>
      <w:proofErr w:type="spellStart"/>
      <w:r w:rsidRPr="0042312F">
        <w:rPr>
          <w:sz w:val="22"/>
          <w:szCs w:val="22"/>
          <w:lang w:eastAsia="en-US"/>
        </w:rPr>
        <w:t>minimis</w:t>
      </w:r>
      <w:proofErr w:type="spellEnd"/>
      <w:r w:rsidRPr="0042312F">
        <w:rPr>
          <w:sz w:val="22"/>
          <w:szCs w:val="22"/>
          <w:lang w:eastAsia="en-US"/>
        </w:rPr>
        <w:t xml:space="preserve"> można zweryfikować w Urzędzie Ochrony Konkurencji i Konsumentów i on jest jawny, natomiast według nas dokumenty, tj. kopie zaświadczeń pomocy de </w:t>
      </w:r>
      <w:proofErr w:type="spellStart"/>
      <w:r w:rsidRPr="0042312F">
        <w:rPr>
          <w:sz w:val="22"/>
          <w:szCs w:val="22"/>
          <w:lang w:eastAsia="en-US"/>
        </w:rPr>
        <w:t>minimis</w:t>
      </w:r>
      <w:proofErr w:type="spellEnd"/>
      <w:r w:rsidRPr="0042312F">
        <w:rPr>
          <w:sz w:val="22"/>
          <w:szCs w:val="22"/>
          <w:lang w:eastAsia="en-US"/>
        </w:rPr>
        <w:t xml:space="preserve"> nie mogą być przekazywane innym instytucjom. Czy zamiast zaświadczeń pomocy de </w:t>
      </w:r>
      <w:proofErr w:type="spellStart"/>
      <w:r w:rsidRPr="0042312F">
        <w:rPr>
          <w:sz w:val="22"/>
          <w:szCs w:val="22"/>
          <w:lang w:eastAsia="en-US"/>
        </w:rPr>
        <w:t>minimis</w:t>
      </w:r>
      <w:proofErr w:type="spellEnd"/>
      <w:r w:rsidRPr="0042312F">
        <w:rPr>
          <w:sz w:val="22"/>
          <w:szCs w:val="22"/>
          <w:lang w:eastAsia="en-US"/>
        </w:rPr>
        <w:t xml:space="preserve"> można przedstawić dokument, który będzie zawierać zanonimizowane dane?</w:t>
      </w:r>
    </w:p>
    <w:p w14:paraId="40D3A942" w14:textId="42FFB7E9" w:rsidR="009E78ED" w:rsidRPr="0042312F" w:rsidRDefault="009E78ED" w:rsidP="0042312F">
      <w:pPr>
        <w:spacing w:after="0" w:line="240" w:lineRule="auto"/>
        <w:ind w:firstLine="708"/>
        <w:rPr>
          <w:b/>
          <w:bCs/>
        </w:rPr>
      </w:pPr>
      <w:r w:rsidRPr="0042312F">
        <w:rPr>
          <w:b/>
          <w:bCs/>
        </w:rPr>
        <w:t>Odpowiedź:</w:t>
      </w:r>
    </w:p>
    <w:p w14:paraId="29889FCA" w14:textId="74076A39" w:rsidR="003040E5" w:rsidRPr="0042312F" w:rsidRDefault="009E78ED" w:rsidP="0042312F">
      <w:pPr>
        <w:spacing w:after="0" w:line="240" w:lineRule="auto"/>
        <w:ind w:left="708"/>
      </w:pPr>
      <w:r w:rsidRPr="0042312F">
        <w:t xml:space="preserve">Dane, które są zawarte w </w:t>
      </w:r>
      <w:r w:rsidRPr="0042312F">
        <w:rPr>
          <w:i/>
          <w:iCs/>
        </w:rPr>
        <w:t xml:space="preserve">Zaświadczeniach o udzielonej pomocy de </w:t>
      </w:r>
      <w:proofErr w:type="spellStart"/>
      <w:r w:rsidRPr="0042312F">
        <w:rPr>
          <w:i/>
          <w:iCs/>
        </w:rPr>
        <w:t>minimis</w:t>
      </w:r>
      <w:proofErr w:type="spellEnd"/>
      <w:r w:rsidRPr="0042312F">
        <w:t xml:space="preserve"> przedsiębiorcom są zawarte w ogólnodostępnych rejestrach, prowadzonych przez UOKiK, więc nie ma podstaw do twierdzenia, iż „kopie zaświadczeń pomocy de </w:t>
      </w:r>
      <w:proofErr w:type="spellStart"/>
      <w:r w:rsidRPr="0042312F">
        <w:t>minimis</w:t>
      </w:r>
      <w:proofErr w:type="spellEnd"/>
      <w:r w:rsidRPr="0042312F">
        <w:t xml:space="preserve"> nie mogą być przekazywane innym instytucjom”. </w:t>
      </w:r>
      <w:r w:rsidR="003040E5" w:rsidRPr="0042312F">
        <w:t xml:space="preserve">Powyższe dokumenty są niezbędne do przeprowadzenia rzetelnej i prawidłowej oceny projektu, a dokumenty w postaci kopii </w:t>
      </w:r>
      <w:r w:rsidR="003040E5" w:rsidRPr="0042312F">
        <w:rPr>
          <w:i/>
          <w:iCs/>
        </w:rPr>
        <w:t xml:space="preserve">Zaświadczeń o udzielonej pomocy de </w:t>
      </w:r>
      <w:proofErr w:type="spellStart"/>
      <w:r w:rsidR="003040E5" w:rsidRPr="0042312F">
        <w:rPr>
          <w:i/>
          <w:iCs/>
        </w:rPr>
        <w:t>minimis</w:t>
      </w:r>
      <w:proofErr w:type="spellEnd"/>
      <w:r w:rsidR="003040E5" w:rsidRPr="0042312F">
        <w:t xml:space="preserve"> oraz faktur, są wiarygodnym źródłem, pozwalającym na potwierdzenie Państwa doświadczenia w świadczeniu usług na rzecz przedsiębiorstw.</w:t>
      </w:r>
    </w:p>
    <w:p w14:paraId="05F8C8DB" w14:textId="728304E5" w:rsidR="003040E5" w:rsidRPr="0042312F" w:rsidRDefault="003040E5" w:rsidP="0042312F">
      <w:pPr>
        <w:spacing w:after="0" w:line="240" w:lineRule="auto"/>
        <w:ind w:left="708"/>
      </w:pPr>
      <w:r w:rsidRPr="0042312F">
        <w:t>Dodatkowo należy zaznaczyć, że dane zawarte w powyższych dokumentach będą przetwarzane wyłącznie w celu wykonania przez Instytucję Zarządzającą FEWiM 2021-2027 określonych prawem obowiązków związanych z przeprowadzeniem postępowania mającego na celu wybór podmiotu realizującego projekt w ramach FEWiM oraz zawarcia umowy o dofinansowanie projektu.</w:t>
      </w:r>
    </w:p>
    <w:p w14:paraId="311AEA44" w14:textId="1C63FD56" w:rsidR="009E78ED" w:rsidRPr="0042312F" w:rsidRDefault="009E78ED" w:rsidP="0042312F">
      <w:pPr>
        <w:spacing w:after="120" w:line="240" w:lineRule="auto"/>
        <w:ind w:left="708"/>
      </w:pPr>
      <w:r w:rsidRPr="0042312F">
        <w:t xml:space="preserve">Ponadto, po ewentualnym wyborze projektu do dofinansowania i jego realizacji, będziecie Państwo zobowiązani do potwierdzenia osiągnięcia m.in. wskaźnika „Przedsiębiorstwa otrzymujące wsparcie niefinansowe”, gdzie dokumentem potwierdzającym </w:t>
      </w:r>
      <w:r w:rsidR="003040E5" w:rsidRPr="0042312F">
        <w:t>„</w:t>
      </w:r>
      <w:r w:rsidRPr="0042312F">
        <w:t>wyświadczone</w:t>
      </w:r>
      <w:r w:rsidR="003040E5" w:rsidRPr="0042312F">
        <w:t>”</w:t>
      </w:r>
      <w:r w:rsidRPr="0042312F">
        <w:t xml:space="preserve"> usługi są m.in.</w:t>
      </w:r>
      <w:r w:rsidR="003040E5" w:rsidRPr="0042312F">
        <w:t xml:space="preserve"> </w:t>
      </w:r>
      <w:r w:rsidR="003040E5" w:rsidRPr="0042312F">
        <w:rPr>
          <w:i/>
          <w:iCs/>
        </w:rPr>
        <w:t xml:space="preserve">Zaświadczenia o udzielonej pomocy de </w:t>
      </w:r>
      <w:proofErr w:type="spellStart"/>
      <w:r w:rsidR="003040E5" w:rsidRPr="0042312F">
        <w:rPr>
          <w:i/>
          <w:iCs/>
        </w:rPr>
        <w:t>minimis</w:t>
      </w:r>
      <w:proofErr w:type="spellEnd"/>
      <w:r w:rsidR="003040E5" w:rsidRPr="0042312F">
        <w:t>, więc będziecie Państwo zobligowani do ich przekazania „innej instytucji”.</w:t>
      </w:r>
    </w:p>
    <w:p w14:paraId="1FC635CD" w14:textId="69696CFF" w:rsidR="009E78ED" w:rsidRPr="0042312F" w:rsidRDefault="009E78ED" w:rsidP="0042312F">
      <w:pPr>
        <w:pStyle w:val="Akapitzlist"/>
        <w:numPr>
          <w:ilvl w:val="0"/>
          <w:numId w:val="1"/>
        </w:numPr>
        <w:rPr>
          <w:sz w:val="22"/>
          <w:szCs w:val="22"/>
          <w:lang w:eastAsia="en-US"/>
        </w:rPr>
      </w:pPr>
      <w:r w:rsidRPr="0042312F">
        <w:rPr>
          <w:sz w:val="22"/>
          <w:szCs w:val="22"/>
          <w:lang w:eastAsia="en-US"/>
        </w:rPr>
        <w:t>W zał. Nr 4 do Regulaminu „Karta z definicjami kryteriów wyboru projektów…” w pkt. 20 jest zapis „Akceleracja polegająca na świadczeniu usług doradczych, po okresie inkubacji, będzie odbywać się w okresie do 1 roku po zakończeniu inkubacji”. Proszę o wskazanie, co wg. Państwa ma być wynikiem akceleracji.</w:t>
      </w:r>
    </w:p>
    <w:p w14:paraId="0C875146" w14:textId="1850ECDB" w:rsidR="004A7B21" w:rsidRPr="0042312F" w:rsidRDefault="004A7B21" w:rsidP="0042312F">
      <w:pPr>
        <w:spacing w:after="0" w:line="240" w:lineRule="auto"/>
        <w:ind w:firstLine="708"/>
        <w:rPr>
          <w:b/>
          <w:bCs/>
        </w:rPr>
      </w:pPr>
      <w:r w:rsidRPr="0042312F">
        <w:rPr>
          <w:b/>
          <w:bCs/>
        </w:rPr>
        <w:t>Odpowiedź:</w:t>
      </w:r>
    </w:p>
    <w:p w14:paraId="6363F76D" w14:textId="62F52491" w:rsidR="00623FA9" w:rsidRPr="0042312F" w:rsidRDefault="004A7B21" w:rsidP="004B7CC8">
      <w:pPr>
        <w:spacing w:after="120" w:line="240" w:lineRule="auto"/>
        <w:ind w:left="709"/>
      </w:pPr>
      <w:r w:rsidRPr="0042312F">
        <w:t xml:space="preserve">Proces akceleracji polega na świadczeniu usług doradczych przedsiębiorstwom wcześniej inkubowanym w ramach projektu. Przedsiębiorca, który skorzystał z procesu inkubacji w ramach projektu, </w:t>
      </w:r>
      <w:r w:rsidR="00CF169D" w:rsidRPr="0042312F">
        <w:t>może</w:t>
      </w:r>
      <w:r w:rsidRPr="0042312F">
        <w:t xml:space="preserve">, lecz </w:t>
      </w:r>
      <w:r w:rsidR="00CF169D" w:rsidRPr="0042312F">
        <w:t xml:space="preserve">nie musi </w:t>
      </w:r>
      <w:r w:rsidRPr="0042312F">
        <w:t>skorzystać z procesu akceleracji, tj. świadczeni</w:t>
      </w:r>
      <w:r w:rsidR="00CF169D" w:rsidRPr="0042312F">
        <w:t>a</w:t>
      </w:r>
      <w:r w:rsidRPr="0042312F">
        <w:t xml:space="preserve"> usług doradczych w okresie do 1 roku po zakończeniu inkubacji. Akceleracja może odbywać się już po ukończeniu przez przedsiębiorcę 3 roku funkcjonowania. </w:t>
      </w:r>
      <w:r w:rsidR="001A5F6B" w:rsidRPr="0042312F">
        <w:t>Celem</w:t>
      </w:r>
      <w:r w:rsidRPr="0042312F">
        <w:t xml:space="preserve"> akceleracji </w:t>
      </w:r>
      <w:r w:rsidR="001A5F6B" w:rsidRPr="0042312F">
        <w:t xml:space="preserve">podobnie jak inkubacji </w:t>
      </w:r>
      <w:r w:rsidRPr="0042312F">
        <w:t xml:space="preserve">jest </w:t>
      </w:r>
      <w:r w:rsidR="001A5F6B" w:rsidRPr="0042312F">
        <w:t xml:space="preserve">wsparcie w początkowym okresie funkcjonowania firmy, a także pomoc w </w:t>
      </w:r>
      <w:r w:rsidRPr="0042312F">
        <w:t>przyspieszeni</w:t>
      </w:r>
      <w:r w:rsidR="001A5F6B" w:rsidRPr="0042312F">
        <w:t>u jej rozwoju</w:t>
      </w:r>
      <w:r w:rsidR="00CF169D" w:rsidRPr="0042312F">
        <w:t xml:space="preserve">. </w:t>
      </w:r>
      <w:bookmarkEnd w:id="8"/>
    </w:p>
    <w:p w14:paraId="568D2F70" w14:textId="31F2701C" w:rsidR="00066184" w:rsidRPr="0042312F" w:rsidRDefault="00066184" w:rsidP="0042312F">
      <w:pPr>
        <w:pStyle w:val="Akapitzlist"/>
        <w:numPr>
          <w:ilvl w:val="0"/>
          <w:numId w:val="1"/>
        </w:numPr>
        <w:rPr>
          <w:rFonts w:eastAsiaTheme="minorHAnsi"/>
          <w:sz w:val="22"/>
          <w:szCs w:val="22"/>
          <w:lang w:eastAsia="en-US"/>
        </w:rPr>
      </w:pPr>
      <w:bookmarkStart w:id="9" w:name="_Hlk181962889"/>
      <w:r w:rsidRPr="0042312F">
        <w:rPr>
          <w:rFonts w:eastAsiaTheme="minorHAnsi"/>
          <w:sz w:val="22"/>
          <w:szCs w:val="22"/>
          <w:lang w:eastAsia="en-US"/>
        </w:rPr>
        <w:t>W związku z ruszeniem naborów na program regionalny FEWM.01.08 Schemat A, Typ 1 oraz Typ 2 proszę o informację na temat kwalifikowalności VAT. Po zapoznaniu się z dokumentacją mamy rozbieżne informację na ten temat. Jesteśmy czynnym podatnikiem VAT, który posiada możliwość częściowego odliczenia VAT, ale nie chcielibyśmy z tej opcji korzystać. Wartość projektu będzie mniejsza niż 5 mln Euro. Z rozmowy telefonicznej otrzymaliśmy informację, iż można ująć VAT jako wydatek kwalifikowany, jeżeli go nie odliczymy. Prosimy o informację jak mamy odnieść się do Kwalifikowalności VATU w świetle niżej przytoczonych zapisów w regulaminach. Czy możemy uznać kwalifikowalność podatku VAT, w przypadku nie odliczania kwot podatku VAT w projekcie mimo prawnej możliwości odliczenia?</w:t>
      </w:r>
    </w:p>
    <w:p w14:paraId="1B02AB30" w14:textId="687E94C8" w:rsidR="00066184" w:rsidRPr="0042312F" w:rsidRDefault="00066184" w:rsidP="0042312F">
      <w:pPr>
        <w:spacing w:line="240" w:lineRule="auto"/>
        <w:ind w:left="708"/>
      </w:pPr>
      <w:r w:rsidRPr="0042312F">
        <w:t>W zasadach kwalifikowalności wydatków obu naborów widnieje zapis w pkt 4 Wydatki kwalifikowalne związane z realizacją projektu</w:t>
      </w:r>
    </w:p>
    <w:p w14:paraId="506E1B97" w14:textId="58DE6940" w:rsidR="00066184" w:rsidRPr="0042312F" w:rsidRDefault="00066184" w:rsidP="0042312F">
      <w:pPr>
        <w:spacing w:line="240" w:lineRule="auto"/>
        <w:ind w:firstLine="708"/>
        <w:rPr>
          <w:i/>
          <w:iCs/>
          <w:u w:val="single"/>
        </w:rPr>
      </w:pPr>
      <w:r w:rsidRPr="0042312F">
        <w:rPr>
          <w:i/>
          <w:iCs/>
          <w:u w:val="single"/>
        </w:rPr>
        <w:t xml:space="preserve">„wydatki poniesione na podatek od towarów i usług w przypadku: </w:t>
      </w:r>
    </w:p>
    <w:p w14:paraId="2B2550D0" w14:textId="77777777" w:rsidR="00066184" w:rsidRPr="0042312F" w:rsidRDefault="00066184" w:rsidP="0042312F">
      <w:pPr>
        <w:spacing w:line="240" w:lineRule="auto"/>
        <w:ind w:left="708"/>
        <w:rPr>
          <w:i/>
          <w:iCs/>
          <w:u w:val="single"/>
        </w:rPr>
      </w:pPr>
      <w:r w:rsidRPr="0042312F">
        <w:rPr>
          <w:i/>
          <w:iCs/>
          <w:u w:val="single"/>
        </w:rPr>
        <w:t xml:space="preserve">a) projektów, których całkowity koszt (z VAT) wynosi mniej niż 5 000 000 EUR (dotyczy również pomocy de </w:t>
      </w:r>
      <w:proofErr w:type="spellStart"/>
      <w:r w:rsidRPr="0042312F">
        <w:rPr>
          <w:i/>
          <w:iCs/>
          <w:u w:val="single"/>
        </w:rPr>
        <w:t>minimis</w:t>
      </w:r>
      <w:proofErr w:type="spellEnd"/>
      <w:r w:rsidRPr="0042312F">
        <w:rPr>
          <w:i/>
          <w:iCs/>
          <w:u w:val="single"/>
        </w:rPr>
        <w:t xml:space="preserve">); </w:t>
      </w:r>
    </w:p>
    <w:p w14:paraId="1F731F3F" w14:textId="3DF3A5B8" w:rsidR="00066184" w:rsidRPr="0042312F" w:rsidRDefault="00066184" w:rsidP="0042312F">
      <w:pPr>
        <w:spacing w:line="240" w:lineRule="auto"/>
        <w:ind w:left="708"/>
        <w:rPr>
          <w:i/>
          <w:iCs/>
          <w:u w:val="single"/>
        </w:rPr>
      </w:pPr>
      <w:r w:rsidRPr="0042312F">
        <w:rPr>
          <w:i/>
          <w:iCs/>
          <w:u w:val="single"/>
        </w:rPr>
        <w:t xml:space="preserve">b) projektów, których całkowity koszt (z VAT) wynosi co najmniej 5 000 000 EUR albo projektów z pomocą publiczną (bez względu na ich wartość), a VAT nie może zostać </w:t>
      </w:r>
      <w:r w:rsidRPr="0042312F">
        <w:rPr>
          <w:i/>
          <w:iCs/>
          <w:u w:val="single"/>
        </w:rPr>
        <w:lastRenderedPageBreak/>
        <w:t>odzyskany w oparciu o przepisy krajowe. Jednocześnie decydujące dla kwalifikowalności wydatku jest to, czy istnieje prawna możliwość odzyskania VAT z budżetu państwa, a nie czy VAT w danym przypadku rzeczywiście zostanie odzyskany.”</w:t>
      </w:r>
    </w:p>
    <w:p w14:paraId="1E827F58" w14:textId="77777777" w:rsidR="00066184" w:rsidRPr="0042312F" w:rsidRDefault="00066184" w:rsidP="0042312F">
      <w:pPr>
        <w:spacing w:line="240" w:lineRule="auto"/>
        <w:ind w:left="633"/>
        <w:rPr>
          <w:b/>
          <w:bCs/>
        </w:rPr>
      </w:pPr>
      <w:r w:rsidRPr="0042312F">
        <w:rPr>
          <w:b/>
          <w:bCs/>
        </w:rPr>
        <w:t>Natomiast przeglądając Załącznik nr 3 do Regulaminu wyboru projektów w ramach naboru 1.8 mamy informację w pkt 8</w:t>
      </w:r>
    </w:p>
    <w:p w14:paraId="0F5C0313" w14:textId="77777777" w:rsidR="00066184" w:rsidRPr="0042312F" w:rsidRDefault="00066184" w:rsidP="0042312F">
      <w:pPr>
        <w:numPr>
          <w:ilvl w:val="0"/>
          <w:numId w:val="6"/>
        </w:numPr>
        <w:spacing w:after="0" w:line="240" w:lineRule="auto"/>
        <w:ind w:left="993"/>
        <w:rPr>
          <w:rFonts w:eastAsia="Times New Roman"/>
          <w:i/>
          <w:iCs/>
          <w:u w:val="single"/>
        </w:rPr>
      </w:pPr>
      <w:r w:rsidRPr="0042312F">
        <w:rPr>
          <w:i/>
          <w:iCs/>
          <w:u w:val="single"/>
        </w:rPr>
        <w:t>Dokument jest dostarczany gdy wartość projektu ≥ 5 mln euro brutto i VAT stanowi koszt kwalifikowalny tylko i wyłącznie, gdy Wnioskodawca uzasadni w oświadczeniu, że brak jest prawnej możliwości jego odzyskania zgodnie z przepisami prawa krajowego.</w:t>
      </w:r>
    </w:p>
    <w:p w14:paraId="57EEBAE8" w14:textId="77777777" w:rsidR="00066184" w:rsidRPr="0042312F" w:rsidRDefault="00066184" w:rsidP="0042312F">
      <w:pPr>
        <w:numPr>
          <w:ilvl w:val="0"/>
          <w:numId w:val="7"/>
        </w:numPr>
        <w:spacing w:after="0" w:line="240" w:lineRule="auto"/>
        <w:ind w:left="993"/>
        <w:rPr>
          <w:i/>
          <w:iCs/>
          <w:u w:val="single"/>
        </w:rPr>
      </w:pPr>
      <w:r w:rsidRPr="0042312F">
        <w:rPr>
          <w:i/>
          <w:iCs/>
          <w:u w:val="single"/>
        </w:rPr>
        <w:t xml:space="preserve">W przypadku projektów objętych pomocą publiczną (nie dotyczy pomocy de </w:t>
      </w:r>
      <w:proofErr w:type="spellStart"/>
      <w:r w:rsidRPr="0042312F">
        <w:rPr>
          <w:i/>
          <w:iCs/>
          <w:u w:val="single"/>
        </w:rPr>
        <w:t>minimis</w:t>
      </w:r>
      <w:proofErr w:type="spellEnd"/>
      <w:r w:rsidRPr="0042312F">
        <w:rPr>
          <w:i/>
          <w:iCs/>
          <w:u w:val="single"/>
        </w:rPr>
        <w:t>), złożenie oświadczenia jest obowiązkowe niezależnie od wartości projektu.</w:t>
      </w:r>
    </w:p>
    <w:p w14:paraId="7C85294C" w14:textId="77777777" w:rsidR="00066184" w:rsidRPr="0042312F" w:rsidRDefault="00066184" w:rsidP="0042312F">
      <w:pPr>
        <w:numPr>
          <w:ilvl w:val="0"/>
          <w:numId w:val="7"/>
        </w:numPr>
        <w:spacing w:after="0" w:line="240" w:lineRule="auto"/>
        <w:ind w:left="993"/>
        <w:rPr>
          <w:i/>
          <w:iCs/>
          <w:u w:val="single"/>
        </w:rPr>
      </w:pPr>
      <w:r w:rsidRPr="0042312F">
        <w:rPr>
          <w:i/>
          <w:iCs/>
          <w:u w:val="single"/>
        </w:rPr>
        <w:t xml:space="preserve">W </w:t>
      </w:r>
      <w:bookmarkStart w:id="10" w:name="_Hlk181962076"/>
      <w:r w:rsidRPr="0042312F">
        <w:rPr>
          <w:i/>
          <w:iCs/>
          <w:u w:val="single"/>
        </w:rPr>
        <w:t>przypadku projektów partnerskich lub, w których występuje realizator, konieczność dołączenia dokumentu dotyczy również tych podmiotów</w:t>
      </w:r>
      <w:bookmarkEnd w:id="10"/>
      <w:r w:rsidRPr="0042312F">
        <w:rPr>
          <w:i/>
          <w:iCs/>
          <w:u w:val="single"/>
        </w:rPr>
        <w:t>.</w:t>
      </w:r>
    </w:p>
    <w:p w14:paraId="3E07943D" w14:textId="24E8D306" w:rsidR="00066184" w:rsidRPr="0042312F" w:rsidRDefault="00066184" w:rsidP="0042312F">
      <w:pPr>
        <w:spacing w:line="240" w:lineRule="auto"/>
        <w:ind w:firstLine="633"/>
        <w:rPr>
          <w:i/>
          <w:iCs/>
          <w:u w:val="single"/>
        </w:rPr>
      </w:pPr>
      <w:r w:rsidRPr="0042312F">
        <w:rPr>
          <w:i/>
          <w:iCs/>
          <w:u w:val="single"/>
        </w:rPr>
        <w:t>Brak dokumentu lub jego niewłaściwe podpisanie skutkuje negatywną oceną projektu.</w:t>
      </w:r>
    </w:p>
    <w:p w14:paraId="6DE6EC51" w14:textId="12F4503E" w:rsidR="00066184" w:rsidRPr="0042312F" w:rsidRDefault="00066184" w:rsidP="0042312F">
      <w:pPr>
        <w:spacing w:line="240" w:lineRule="auto"/>
        <w:ind w:left="360" w:firstLine="273"/>
        <w:rPr>
          <w:b/>
          <w:bCs/>
        </w:rPr>
      </w:pPr>
      <w:r w:rsidRPr="0042312F">
        <w:rPr>
          <w:b/>
          <w:bCs/>
        </w:rPr>
        <w:t>Dodatkowo w samym załączniku, gdzie jest oświadczenie VAT widnieją uwagi</w:t>
      </w:r>
    </w:p>
    <w:p w14:paraId="4F04CD6B" w14:textId="7EF2496E" w:rsidR="00066184" w:rsidRPr="0042312F" w:rsidRDefault="00066184" w:rsidP="0042312F">
      <w:pPr>
        <w:spacing w:line="240" w:lineRule="auto"/>
        <w:jc w:val="center"/>
      </w:pPr>
      <w:r w:rsidRPr="0042312F">
        <w:rPr>
          <w:noProof/>
        </w:rPr>
        <w:drawing>
          <wp:inline distT="0" distB="0" distL="0" distR="0" wp14:anchorId="7FEA3C16" wp14:editId="361D7FCC">
            <wp:extent cx="5532120" cy="203200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532120" cy="2032000"/>
                    </a:xfrm>
                    <a:prstGeom prst="rect">
                      <a:avLst/>
                    </a:prstGeom>
                    <a:noFill/>
                    <a:ln>
                      <a:noFill/>
                    </a:ln>
                  </pic:spPr>
                </pic:pic>
              </a:graphicData>
            </a:graphic>
          </wp:inline>
        </w:drawing>
      </w:r>
    </w:p>
    <w:p w14:paraId="06497497" w14:textId="4BF18C19" w:rsidR="00066184" w:rsidRPr="0042312F" w:rsidRDefault="00066184" w:rsidP="0042312F">
      <w:pPr>
        <w:spacing w:after="0" w:line="240" w:lineRule="auto"/>
        <w:ind w:firstLine="708"/>
        <w:rPr>
          <w:b/>
          <w:bCs/>
        </w:rPr>
      </w:pPr>
      <w:r w:rsidRPr="0042312F">
        <w:rPr>
          <w:b/>
          <w:bCs/>
        </w:rPr>
        <w:t>Odpowiedź:</w:t>
      </w:r>
    </w:p>
    <w:p w14:paraId="0C986FC1" w14:textId="21233A1C" w:rsidR="00066184" w:rsidRPr="0042312F" w:rsidRDefault="003B7574" w:rsidP="0042312F">
      <w:pPr>
        <w:spacing w:after="0" w:line="240" w:lineRule="auto"/>
        <w:ind w:left="708"/>
      </w:pPr>
      <w:bookmarkStart w:id="11" w:name="_Hlk181962957"/>
      <w:r w:rsidRPr="0042312F">
        <w:t xml:space="preserve">Należy wskazać, iż </w:t>
      </w:r>
      <w:r w:rsidR="001C25D8" w:rsidRPr="0042312F">
        <w:rPr>
          <w:i/>
          <w:iCs/>
        </w:rPr>
        <w:t>Zasady kwalifikowalności (…)</w:t>
      </w:r>
      <w:r w:rsidR="001C25D8" w:rsidRPr="0042312F">
        <w:t xml:space="preserve"> określają, w jakich przypadkach podatek VAT może stanowić koszt kwalifikowalny w projekcie. </w:t>
      </w:r>
      <w:r w:rsidR="00B90E28" w:rsidRPr="0042312F">
        <w:t>I tak, w</w:t>
      </w:r>
      <w:r w:rsidR="001C25D8" w:rsidRPr="0042312F">
        <w:t xml:space="preserve"> przypadku projektów o wartości poniżej 5 mln euro, w których nie występuje pomoc publiczna lub występuje pomoc de </w:t>
      </w:r>
      <w:proofErr w:type="spellStart"/>
      <w:r w:rsidR="001C25D8" w:rsidRPr="0042312F">
        <w:t>minimis</w:t>
      </w:r>
      <w:proofErr w:type="spellEnd"/>
      <w:r w:rsidR="001C25D8" w:rsidRPr="0042312F">
        <w:t xml:space="preserve">, podatek VAT może stanowić koszt kwalifikowalny, bez względu na to, czy </w:t>
      </w:r>
      <w:r w:rsidR="00AE0935" w:rsidRPr="0042312F">
        <w:t>Wnioskodawca</w:t>
      </w:r>
      <w:r w:rsidR="001C25D8" w:rsidRPr="0042312F">
        <w:t xml:space="preserve"> posiada prawną możliwość jego odzyskania, czy też nie. Natomiast w projektach </w:t>
      </w:r>
      <w:r w:rsidRPr="0042312F">
        <w:t>o</w:t>
      </w:r>
      <w:r w:rsidR="001C25D8" w:rsidRPr="0042312F">
        <w:t xml:space="preserve"> wartości co najmniej 5 mln euro</w:t>
      </w:r>
      <w:r w:rsidRPr="0042312F">
        <w:t xml:space="preserve"> oraz w projektach objętych pomocą publiczną (bez względu na ich wartość), podatek VAT może stanowić koszt kwalifikowalny, o ile </w:t>
      </w:r>
      <w:r w:rsidR="00AE0935" w:rsidRPr="0042312F">
        <w:t>Wnioskodawca</w:t>
      </w:r>
      <w:r w:rsidRPr="0042312F">
        <w:t xml:space="preserve"> nie ma prawnej możliwości jego odzyskania.</w:t>
      </w:r>
    </w:p>
    <w:p w14:paraId="1C2E12EA" w14:textId="62DC588F" w:rsidR="006A5424" w:rsidRPr="0042312F" w:rsidRDefault="003B7574" w:rsidP="0042312F">
      <w:pPr>
        <w:spacing w:after="0" w:line="240" w:lineRule="auto"/>
        <w:ind w:left="708"/>
      </w:pPr>
      <w:r w:rsidRPr="0042312F">
        <w:t xml:space="preserve">Załącznik nr 3 do Regulaminu określa natomiast, w jakich przypadkach należy dostarczyć Załącznik pn. „Oświadczenie VAT”. W ślad za zapisami </w:t>
      </w:r>
      <w:r w:rsidR="00AE0935" w:rsidRPr="0042312F">
        <w:t>Załącznika nr 3</w:t>
      </w:r>
      <w:r w:rsidRPr="0042312F">
        <w:t>, przedmiotowe Oświadczenie należy dostarczyć w przypadku</w:t>
      </w:r>
      <w:r w:rsidR="00B90E28" w:rsidRPr="0042312F">
        <w:t xml:space="preserve"> projektów o wartości co najmniej 5 mln euro, projektów objętych pomocą publiczną (niezależnie od ich wartości), a w przypadku projektów partnerskich lub, w których występuje realizator, konieczność dołączenia dokumentu dotyczy również tych podmiotów.</w:t>
      </w:r>
    </w:p>
    <w:p w14:paraId="7438D804" w14:textId="28984412" w:rsidR="00B90E28" w:rsidRPr="0042312F" w:rsidRDefault="00B90E28" w:rsidP="0042312F">
      <w:pPr>
        <w:spacing w:after="0" w:line="240" w:lineRule="auto"/>
        <w:ind w:left="708"/>
      </w:pPr>
      <w:r w:rsidRPr="0042312F">
        <w:t xml:space="preserve">Oświadczenie jest przedkładane w celu uzyskania przez Instytucję Zarządzającą informacji, czy </w:t>
      </w:r>
      <w:r w:rsidR="00AE0935" w:rsidRPr="0042312F">
        <w:t>Wnioskodawca</w:t>
      </w:r>
      <w:r w:rsidRPr="0042312F">
        <w:t xml:space="preserve"> posiada prawną możliwość odzyskania podatku VAT.</w:t>
      </w:r>
    </w:p>
    <w:p w14:paraId="2CF65258" w14:textId="5F7918B0" w:rsidR="00B90E28" w:rsidRPr="0042312F" w:rsidRDefault="00B90E28" w:rsidP="0042312F">
      <w:pPr>
        <w:spacing w:after="0" w:line="240" w:lineRule="auto"/>
        <w:ind w:left="708"/>
      </w:pPr>
      <w:r w:rsidRPr="0042312F">
        <w:t xml:space="preserve">Przytoczone przez Panią </w:t>
      </w:r>
      <w:r w:rsidR="00AE0935" w:rsidRPr="0042312F">
        <w:t xml:space="preserve">przypisy z wzoru Oświadczenia VAT, dotyczą już samego Oświadczenia i wskazują w jakiej sytuacji VAT może zostać uznany za kwalifikowalny, ale dotyczy to wyłącznie projektów o wartości co najmniej 5 mln euro lub projektów z pomocą publiczną, ponieważ w przypadku projektów poniżej 5 mln euro nieobjętych pomocą publiczną lub objętych pomocą de </w:t>
      </w:r>
      <w:proofErr w:type="spellStart"/>
      <w:r w:rsidR="00AE0935" w:rsidRPr="0042312F">
        <w:t>minimis</w:t>
      </w:r>
      <w:proofErr w:type="spellEnd"/>
      <w:r w:rsidR="00AE0935" w:rsidRPr="0042312F">
        <w:t>, Wnioskodawca Oświadczenia VAT nie składa.</w:t>
      </w:r>
    </w:p>
    <w:p w14:paraId="43B513F2" w14:textId="36894F81" w:rsidR="00AE0935" w:rsidRPr="0042312F" w:rsidRDefault="00AE0935" w:rsidP="0042312F">
      <w:pPr>
        <w:spacing w:after="0" w:line="240" w:lineRule="auto"/>
        <w:ind w:left="708"/>
      </w:pPr>
      <w:r w:rsidRPr="0042312F">
        <w:t>Wobec powyższego, nie można zgodzić się ze stwierdzeniem, że zapisy zawarte w dokumentacji naboru są rozbieżne.</w:t>
      </w:r>
      <w:bookmarkEnd w:id="9"/>
      <w:bookmarkEnd w:id="11"/>
    </w:p>
    <w:p w14:paraId="4CBBC634" w14:textId="5AAF9786" w:rsidR="009A57D4" w:rsidRPr="0042312F" w:rsidRDefault="009A57D4" w:rsidP="0042312F">
      <w:pPr>
        <w:spacing w:after="0" w:line="240" w:lineRule="auto"/>
      </w:pPr>
    </w:p>
    <w:p w14:paraId="77F33A44" w14:textId="4C7281BF" w:rsidR="009A57D4" w:rsidRPr="0042312F" w:rsidRDefault="009A57D4" w:rsidP="0042312F">
      <w:pPr>
        <w:pStyle w:val="Akapitzlist"/>
        <w:numPr>
          <w:ilvl w:val="0"/>
          <w:numId w:val="1"/>
        </w:numPr>
        <w:rPr>
          <w:sz w:val="22"/>
          <w:szCs w:val="22"/>
          <w:lang w:eastAsia="en-US"/>
        </w:rPr>
      </w:pPr>
      <w:r w:rsidRPr="0042312F">
        <w:rPr>
          <w:sz w:val="22"/>
          <w:szCs w:val="22"/>
          <w:lang w:eastAsia="en-US"/>
        </w:rPr>
        <w:lastRenderedPageBreak/>
        <w:t>W zał. Nr 7 „</w:t>
      </w:r>
      <w:r w:rsidRPr="0042312F">
        <w:rPr>
          <w:i/>
          <w:iCs/>
          <w:sz w:val="22"/>
          <w:szCs w:val="22"/>
          <w:lang w:eastAsia="en-US"/>
        </w:rPr>
        <w:t>Zasady kwalifikowalności wydatków</w:t>
      </w:r>
      <w:r w:rsidRPr="0042312F">
        <w:rPr>
          <w:sz w:val="22"/>
          <w:szCs w:val="22"/>
          <w:lang w:eastAsia="en-US"/>
        </w:rPr>
        <w:t>…” w ust 4. „</w:t>
      </w:r>
      <w:r w:rsidRPr="0042312F">
        <w:rPr>
          <w:i/>
          <w:iCs/>
          <w:sz w:val="22"/>
          <w:szCs w:val="22"/>
          <w:lang w:eastAsia="en-US"/>
        </w:rPr>
        <w:t>Wydatki kwalifikowalne związane z realizacją projektu</w:t>
      </w:r>
      <w:r w:rsidRPr="0042312F">
        <w:rPr>
          <w:sz w:val="22"/>
          <w:szCs w:val="22"/>
          <w:lang w:eastAsia="en-US"/>
        </w:rPr>
        <w:t>” w punkcie 3 jako kwalifikowalne wskazano: „</w:t>
      </w:r>
      <w:r w:rsidRPr="0042312F">
        <w:rPr>
          <w:i/>
          <w:iCs/>
          <w:sz w:val="22"/>
          <w:szCs w:val="22"/>
          <w:lang w:eastAsia="en-US"/>
        </w:rPr>
        <w:t>Wydatki związane z organizacją jednodniowego wydarzenia przedstawiającego firmy, które skorzystały z usług inkubacji i akceleracji, prezentujące modele biznesowe w celu pozyskania inwestorów</w:t>
      </w:r>
      <w:r w:rsidRPr="0042312F">
        <w:rPr>
          <w:sz w:val="22"/>
          <w:szCs w:val="22"/>
          <w:lang w:eastAsia="en-US"/>
        </w:rPr>
        <w:t>”. Uprzejmie proszę o doprecyzowanie zacytowanego zapisu. Czy skoro w ramach projektu planowane jest przeprowadzenie 3 cykli inkubacji (w jednym roku jeden cykl), w każdym po około 30 MŚP, to czy za wydatek kwalifikowalny zostaną uznane wydatki na zorganizowanie wydarzenia przedstawiającego firmy po każdym z trzech cykli inkubacji? Ponadto z uwagi na planowaną liczbę inkubowanych przedsiębiorstw w każdym z cykli inkubacji tj. 30 firm, praktycznie niemożliwe jest efektywne zorganizowanie takiego wydarzenia w jeden dzień. Czy w związku z tym podzielenie takiego wydarzenia na dwa lub trzy następujące po sobie dni, nie będzie skutkowało uznaniem takich wydatków za niekwalifikowalne?</w:t>
      </w:r>
    </w:p>
    <w:p w14:paraId="5FE84C2F" w14:textId="21C8CD05" w:rsidR="009A57D4" w:rsidRPr="0042312F" w:rsidRDefault="009A57D4" w:rsidP="0042312F">
      <w:pPr>
        <w:pStyle w:val="Akapitzlist"/>
        <w:ind w:left="0" w:firstLine="708"/>
        <w:rPr>
          <w:b/>
          <w:bCs/>
          <w:sz w:val="22"/>
          <w:szCs w:val="22"/>
          <w:lang w:eastAsia="en-US"/>
        </w:rPr>
      </w:pPr>
      <w:r w:rsidRPr="0042312F">
        <w:rPr>
          <w:b/>
          <w:bCs/>
          <w:sz w:val="22"/>
          <w:szCs w:val="22"/>
          <w:lang w:eastAsia="en-US"/>
        </w:rPr>
        <w:t>Odpowiedź:</w:t>
      </w:r>
    </w:p>
    <w:p w14:paraId="2F6DFD4D" w14:textId="0EA60432" w:rsidR="009A57D4" w:rsidRPr="0042312F" w:rsidRDefault="009A57D4" w:rsidP="0042312F">
      <w:pPr>
        <w:pStyle w:val="Akapitzlist"/>
        <w:ind w:left="708"/>
        <w:rPr>
          <w:sz w:val="22"/>
          <w:szCs w:val="22"/>
          <w:lang w:eastAsia="en-US"/>
        </w:rPr>
      </w:pPr>
      <w:r w:rsidRPr="0042312F">
        <w:rPr>
          <w:sz w:val="22"/>
          <w:szCs w:val="22"/>
          <w:lang w:eastAsia="en-US"/>
        </w:rPr>
        <w:t>Zgodnie z zapisami Zasad kwalifikowalności (…), kwalifikowalny jest koszt organizacji jednodniowego wydarzenia, wobec tego wydarzenie trwające kilka dni nie może stanowić kosztu kwalifikowalnego w projekcie.</w:t>
      </w:r>
    </w:p>
    <w:p w14:paraId="11FBB7ED" w14:textId="48B951BA" w:rsidR="009A57D4" w:rsidRPr="0042312F" w:rsidRDefault="009A57D4" w:rsidP="0042312F">
      <w:pPr>
        <w:pStyle w:val="Akapitzlist"/>
        <w:spacing w:after="120"/>
        <w:ind w:left="708"/>
        <w:rPr>
          <w:sz w:val="22"/>
          <w:szCs w:val="22"/>
          <w:lang w:eastAsia="en-US"/>
        </w:rPr>
      </w:pPr>
      <w:r w:rsidRPr="0042312F">
        <w:rPr>
          <w:sz w:val="22"/>
          <w:szCs w:val="22"/>
          <w:lang w:eastAsia="en-US"/>
        </w:rPr>
        <w:t xml:space="preserve">Możliwe jest zorganizowanie </w:t>
      </w:r>
      <w:r w:rsidR="00A45177" w:rsidRPr="0042312F">
        <w:rPr>
          <w:sz w:val="22"/>
          <w:szCs w:val="22"/>
          <w:lang w:eastAsia="en-US"/>
        </w:rPr>
        <w:t>jednodniowego wydarzenia po realizacji każdego cyklu inkubacji, czyli w Państwa przypadku trzech jednodniowych wydarzeń.</w:t>
      </w:r>
    </w:p>
    <w:p w14:paraId="490F3425" w14:textId="62FFD371" w:rsidR="009A57D4" w:rsidRPr="0042312F" w:rsidRDefault="009A57D4" w:rsidP="0042312F">
      <w:pPr>
        <w:pStyle w:val="Akapitzlist"/>
        <w:numPr>
          <w:ilvl w:val="0"/>
          <w:numId w:val="1"/>
        </w:numPr>
        <w:rPr>
          <w:sz w:val="22"/>
          <w:szCs w:val="22"/>
          <w:lang w:eastAsia="en-US"/>
        </w:rPr>
      </w:pPr>
      <w:r w:rsidRPr="0042312F">
        <w:rPr>
          <w:sz w:val="22"/>
          <w:szCs w:val="22"/>
          <w:lang w:eastAsia="en-US"/>
        </w:rPr>
        <w:t>W zał. Nr 7 „</w:t>
      </w:r>
      <w:r w:rsidRPr="0042312F">
        <w:rPr>
          <w:i/>
          <w:iCs/>
          <w:sz w:val="22"/>
          <w:szCs w:val="22"/>
          <w:lang w:eastAsia="en-US"/>
        </w:rPr>
        <w:t>Zasady kwalifikowalności wydatków</w:t>
      </w:r>
      <w:r w:rsidRPr="0042312F">
        <w:rPr>
          <w:sz w:val="22"/>
          <w:szCs w:val="22"/>
          <w:lang w:eastAsia="en-US"/>
        </w:rPr>
        <w:t xml:space="preserve">…”  nie wskazano wprost czy wydatkiem kwalifikowalnym mogą być wydatki związane z uczestniczeniem przedstawicieli inkubowanych/akcelerowanych firm w różnego rodzaju targach czy innego rodzaju wydarzeniach branżowych w charakterze odwiedzających lub wystawiających.  Chodzi tu wyłącznie o koszt związany z zakupem tzw. „wejściówek” zapewniających możliwość uczestniczenia w takich wydarzeniach. Czy taki koszt w projekcie będzie uznany za wydatek kwalifikowalny? </w:t>
      </w:r>
    </w:p>
    <w:p w14:paraId="0B5F76C9" w14:textId="5E2B41AC" w:rsidR="00FC69E3" w:rsidRPr="0042312F" w:rsidRDefault="00FC69E3" w:rsidP="0042312F">
      <w:pPr>
        <w:pStyle w:val="Akapitzlist"/>
        <w:ind w:left="0" w:firstLine="708"/>
        <w:rPr>
          <w:b/>
          <w:bCs/>
          <w:sz w:val="22"/>
          <w:szCs w:val="22"/>
          <w:lang w:eastAsia="en-US"/>
        </w:rPr>
      </w:pPr>
      <w:r w:rsidRPr="0042312F">
        <w:rPr>
          <w:b/>
          <w:bCs/>
          <w:sz w:val="22"/>
          <w:szCs w:val="22"/>
          <w:lang w:eastAsia="en-US"/>
        </w:rPr>
        <w:t>Odpowiedź:</w:t>
      </w:r>
    </w:p>
    <w:p w14:paraId="3C8355D3" w14:textId="364A39E3" w:rsidR="00FC69E3" w:rsidRPr="0042312F" w:rsidRDefault="00FC69E3" w:rsidP="0042312F">
      <w:pPr>
        <w:pStyle w:val="Akapitzlist"/>
        <w:spacing w:after="120"/>
        <w:ind w:left="708"/>
        <w:rPr>
          <w:sz w:val="22"/>
          <w:szCs w:val="22"/>
          <w:lang w:eastAsia="en-US"/>
        </w:rPr>
      </w:pPr>
      <w:r w:rsidRPr="0042312F">
        <w:rPr>
          <w:sz w:val="22"/>
          <w:szCs w:val="22"/>
          <w:lang w:eastAsia="en-US"/>
        </w:rPr>
        <w:t xml:space="preserve">Wskazany w pytaniu koszt, nie może być </w:t>
      </w:r>
      <w:r w:rsidR="00804B35" w:rsidRPr="0042312F">
        <w:rPr>
          <w:sz w:val="22"/>
          <w:szCs w:val="22"/>
          <w:lang w:eastAsia="en-US"/>
        </w:rPr>
        <w:t>kosztem kwalifikowalnym w projekcie. Przedmiotem projektu jest świadczenie usług przedsiębiorcom przez kadrę własną Beneficjenta lub ekspertów zewnętrznych, nie zaś organizacja udziału, czy też refundacja kosztów „wejściówek” na targi w których uczestniczyć będą przedsiębiorcy.</w:t>
      </w:r>
    </w:p>
    <w:p w14:paraId="67504994" w14:textId="589B9AA5" w:rsidR="009A57D4" w:rsidRPr="0042312F" w:rsidRDefault="009A57D4" w:rsidP="0042312F">
      <w:pPr>
        <w:pStyle w:val="Akapitzlist"/>
        <w:numPr>
          <w:ilvl w:val="0"/>
          <w:numId w:val="1"/>
        </w:numPr>
        <w:rPr>
          <w:sz w:val="22"/>
          <w:szCs w:val="22"/>
          <w:lang w:eastAsia="en-US"/>
        </w:rPr>
      </w:pPr>
      <w:r w:rsidRPr="0042312F">
        <w:rPr>
          <w:sz w:val="22"/>
          <w:szCs w:val="22"/>
          <w:lang w:eastAsia="en-US"/>
        </w:rPr>
        <w:t>W zał. Nr 7 „</w:t>
      </w:r>
      <w:r w:rsidRPr="0042312F">
        <w:rPr>
          <w:i/>
          <w:iCs/>
          <w:sz w:val="22"/>
          <w:szCs w:val="22"/>
          <w:lang w:eastAsia="en-US"/>
        </w:rPr>
        <w:t>Zasady kwalifikowalności wydatków</w:t>
      </w:r>
      <w:r w:rsidRPr="0042312F">
        <w:rPr>
          <w:sz w:val="22"/>
          <w:szCs w:val="22"/>
          <w:lang w:eastAsia="en-US"/>
        </w:rPr>
        <w:t>…”  nie wskazano wprost czy wydatkiem bezpośrednim i kwalifikowalnym mogą być wydatki związane z zaangażowaniem ekspertów do procesu oceny wniosków w trakcie naboru firm do udziału w projekcie. Czy za koszt bezpośredni i kwalifikowalny zostanie uznany koszt związany z zaangażowaniem eksperta ds. innowacyjności w procesie rekrutacji, który będzie dokonywał przede wszystkim oceny skali innowacyjności danego rozwiązania na rynku?</w:t>
      </w:r>
    </w:p>
    <w:p w14:paraId="64889C55" w14:textId="4FCC1B09" w:rsidR="00804B35" w:rsidRPr="0042312F" w:rsidRDefault="00804B35" w:rsidP="0042312F">
      <w:pPr>
        <w:pStyle w:val="Akapitzlist"/>
        <w:ind w:left="0" w:firstLine="708"/>
        <w:rPr>
          <w:b/>
          <w:bCs/>
          <w:sz w:val="22"/>
          <w:szCs w:val="22"/>
          <w:lang w:eastAsia="en-US"/>
        </w:rPr>
      </w:pPr>
      <w:r w:rsidRPr="0042312F">
        <w:rPr>
          <w:b/>
          <w:bCs/>
          <w:sz w:val="22"/>
          <w:szCs w:val="22"/>
          <w:lang w:eastAsia="en-US"/>
        </w:rPr>
        <w:t>Odpowiedź:</w:t>
      </w:r>
    </w:p>
    <w:p w14:paraId="643600E8" w14:textId="55C4B8C0" w:rsidR="00804B35" w:rsidRPr="0042312F" w:rsidRDefault="00804B35" w:rsidP="0042312F">
      <w:pPr>
        <w:pStyle w:val="Akapitzlist"/>
        <w:ind w:left="708"/>
        <w:rPr>
          <w:sz w:val="22"/>
          <w:szCs w:val="22"/>
          <w:lang w:eastAsia="en-US"/>
        </w:rPr>
      </w:pPr>
      <w:r w:rsidRPr="0042312F">
        <w:rPr>
          <w:sz w:val="22"/>
          <w:szCs w:val="22"/>
          <w:lang w:eastAsia="en-US"/>
        </w:rPr>
        <w:t>Proces rekrutacji przedsiębiorstw powinien być przeprowadzony w ramach kosztów pośrednich</w:t>
      </w:r>
      <w:r w:rsidR="00F560C4" w:rsidRPr="0042312F">
        <w:rPr>
          <w:sz w:val="22"/>
          <w:szCs w:val="22"/>
          <w:lang w:eastAsia="en-US"/>
        </w:rPr>
        <w:t>.</w:t>
      </w:r>
      <w:r w:rsidR="0042312F">
        <w:rPr>
          <w:sz w:val="22"/>
          <w:szCs w:val="22"/>
          <w:lang w:eastAsia="en-US"/>
        </w:rPr>
        <w:t xml:space="preserve"> Koszty zaangażowania ekspertów do oceny wniosków przedsiębiorstw oraz doboru przedsiębiorstwom odpowiednich usług </w:t>
      </w:r>
      <w:r w:rsidR="00F82E23">
        <w:rPr>
          <w:sz w:val="22"/>
          <w:szCs w:val="22"/>
          <w:lang w:eastAsia="en-US"/>
        </w:rPr>
        <w:t>dostosowanych do ich profilu działalności, może stanowić koszt kwalifikowalny, o ile taką usługę Wnioskodawca posiada w swojej ofercie i zaplanuje ją w zakresie rzeczowym projektu (np. „Opiekun projektu”)</w:t>
      </w:r>
    </w:p>
    <w:p w14:paraId="13C12554" w14:textId="73C1C195" w:rsidR="0017688A" w:rsidRPr="0042312F" w:rsidRDefault="0017688A" w:rsidP="0042312F">
      <w:pPr>
        <w:pStyle w:val="Akapitzlist"/>
        <w:ind w:left="0"/>
        <w:rPr>
          <w:sz w:val="22"/>
          <w:szCs w:val="22"/>
          <w:lang w:eastAsia="en-US"/>
        </w:rPr>
      </w:pPr>
      <w:bookmarkStart w:id="12" w:name="_Hlk182571836"/>
    </w:p>
    <w:p w14:paraId="68E3F390" w14:textId="77777777" w:rsidR="0017688A" w:rsidRPr="0042312F" w:rsidRDefault="0017688A" w:rsidP="00F82E23">
      <w:pPr>
        <w:pStyle w:val="Akapitzlist"/>
        <w:numPr>
          <w:ilvl w:val="0"/>
          <w:numId w:val="1"/>
        </w:numPr>
        <w:rPr>
          <w:sz w:val="22"/>
          <w:szCs w:val="22"/>
          <w:lang w:eastAsia="en-US"/>
        </w:rPr>
      </w:pPr>
      <w:r w:rsidRPr="0042312F">
        <w:rPr>
          <w:sz w:val="22"/>
          <w:szCs w:val="22"/>
          <w:lang w:eastAsia="en-US"/>
        </w:rPr>
        <w:t>Czy we wskazanym naborze Instytucja w osobie naszej Fundacji jako organizacji pozarządowej kwalifikuje się do uzyskania dofinansowania zgodnie z kryterium Instytucje Otoczenia Biznesu.</w:t>
      </w:r>
    </w:p>
    <w:p w14:paraId="340D3E76" w14:textId="77777777" w:rsidR="0017688A" w:rsidRPr="0042312F" w:rsidRDefault="0017688A" w:rsidP="00F82E23">
      <w:pPr>
        <w:pStyle w:val="Akapitzlist"/>
        <w:ind w:left="0" w:firstLine="708"/>
        <w:rPr>
          <w:sz w:val="22"/>
          <w:szCs w:val="22"/>
          <w:lang w:eastAsia="en-US"/>
        </w:rPr>
      </w:pPr>
      <w:r w:rsidRPr="0042312F">
        <w:rPr>
          <w:b/>
          <w:bCs/>
          <w:sz w:val="22"/>
          <w:szCs w:val="22"/>
          <w:lang w:eastAsia="en-US"/>
        </w:rPr>
        <w:t>Odpowiedź:</w:t>
      </w:r>
      <w:r w:rsidRPr="0042312F">
        <w:rPr>
          <w:sz w:val="22"/>
          <w:szCs w:val="22"/>
          <w:lang w:eastAsia="en-US"/>
        </w:rPr>
        <w:t xml:space="preserve"> </w:t>
      </w:r>
    </w:p>
    <w:p w14:paraId="583E0102" w14:textId="77777777" w:rsidR="0017688A" w:rsidRPr="0042312F" w:rsidRDefault="0017688A" w:rsidP="00F82E23">
      <w:pPr>
        <w:pStyle w:val="Akapitzlist"/>
        <w:spacing w:after="120"/>
        <w:ind w:left="708"/>
        <w:rPr>
          <w:sz w:val="22"/>
          <w:szCs w:val="22"/>
          <w:lang w:eastAsia="en-US"/>
        </w:rPr>
      </w:pPr>
      <w:r w:rsidRPr="0042312F">
        <w:rPr>
          <w:sz w:val="22"/>
          <w:szCs w:val="22"/>
          <w:lang w:eastAsia="en-US"/>
        </w:rPr>
        <w:t xml:space="preserve">Jeśli Państwa fundacja spełnia definicję Instytucji Otoczenia Biznesu wskazanej w </w:t>
      </w:r>
      <w:hyperlink r:id="rId8" w:history="1">
        <w:r w:rsidRPr="0042312F">
          <w:rPr>
            <w:rStyle w:val="Hipercze"/>
            <w:sz w:val="22"/>
            <w:szCs w:val="22"/>
            <w:lang w:eastAsia="en-US"/>
          </w:rPr>
          <w:t>Wykazie pojęć i definicji</w:t>
        </w:r>
      </w:hyperlink>
      <w:r w:rsidRPr="0042312F">
        <w:rPr>
          <w:sz w:val="22"/>
          <w:szCs w:val="22"/>
          <w:lang w:eastAsia="en-US"/>
        </w:rPr>
        <w:t xml:space="preserve">, zamieszczonym na stronie programu FEWiM – może ubiegać się o wsparcie w przedmiotowym naborze. Zgodnie z definicją zamieszczoną w ww. Wykazie, Instytucje Otoczenia Biznesu to </w:t>
      </w:r>
      <w:r w:rsidRPr="0042312F">
        <w:rPr>
          <w:i/>
          <w:iCs/>
          <w:sz w:val="22"/>
          <w:szCs w:val="22"/>
          <w:lang w:eastAsia="en-US"/>
        </w:rPr>
        <w:t xml:space="preserve">osoby prawne, jednostki organizacyjne nieposiadające osobowości prawnej, którym odrębne przepisy przyznają zdolność prawną, lub jednostki organizacyjne samorządu terytorialnego, nie działające w celu osiągnięcia zysku lub przeznaczające zysk na </w:t>
      </w:r>
      <w:r w:rsidRPr="0042312F">
        <w:rPr>
          <w:i/>
          <w:iCs/>
          <w:sz w:val="22"/>
          <w:szCs w:val="22"/>
          <w:lang w:eastAsia="en-US"/>
        </w:rPr>
        <w:lastRenderedPageBreak/>
        <w:t>cele statutowe, zgodnie z zapisami w statucie lub równoważnym dokumencie, posiadające własną bazę materialną, techniczną, zasoby ludzkie i kompetencje niezbędne do świadczenia usług na rzecz sektora MŚP. Do zadań instytucji otoczenia biznesu można zaliczyć: wspieranie przedsiębiorczości, ułatwianie rozpoczynania działalności gospodarczej, pomoc nowotworzonym przedsiębiorcom. Priorytetowe przedsięwzięcia podejmowane przez IOB to podnoszenie jakości zasobów ludzkich w przedsiębiorstwach poprzez szkolenia i doradztwo, wsparcie powiązań kooperacyjnych przedsiębiorstw, tworzenie sieci współpracy (m.in. klastry) i animacji środowiska innowacyjnego przedsiębiorstw, a także zapewnienie zewnętrznych źródeł finansowania.</w:t>
      </w:r>
    </w:p>
    <w:p w14:paraId="3BD1D885" w14:textId="77777777" w:rsidR="0017688A" w:rsidRPr="0042312F" w:rsidRDefault="0017688A" w:rsidP="00F82E23">
      <w:pPr>
        <w:pStyle w:val="Akapitzlist"/>
        <w:numPr>
          <w:ilvl w:val="0"/>
          <w:numId w:val="1"/>
        </w:numPr>
        <w:rPr>
          <w:sz w:val="22"/>
          <w:szCs w:val="22"/>
          <w:lang w:eastAsia="en-US"/>
        </w:rPr>
      </w:pPr>
      <w:r w:rsidRPr="0042312F">
        <w:rPr>
          <w:sz w:val="22"/>
          <w:szCs w:val="22"/>
          <w:lang w:eastAsia="en-US"/>
        </w:rPr>
        <w:t>Czy wymagany wkład własny na poziomie 15 % wyd.kw. powinien zostać wniesiony w formie pieniężnej /zaświadczenie z banku na etapie składania wniosku/, czy też niepieniężnej /wkład rzeczowy/.</w:t>
      </w:r>
    </w:p>
    <w:p w14:paraId="6B11E3E1" w14:textId="77777777" w:rsidR="0017688A" w:rsidRPr="0042312F" w:rsidRDefault="0017688A" w:rsidP="00F82E23">
      <w:pPr>
        <w:pStyle w:val="Akapitzlist"/>
        <w:ind w:left="0" w:firstLine="708"/>
        <w:rPr>
          <w:b/>
          <w:bCs/>
          <w:sz w:val="22"/>
          <w:szCs w:val="22"/>
          <w:lang w:eastAsia="en-US"/>
        </w:rPr>
      </w:pPr>
      <w:r w:rsidRPr="0042312F">
        <w:rPr>
          <w:b/>
          <w:bCs/>
          <w:sz w:val="22"/>
          <w:szCs w:val="22"/>
          <w:lang w:eastAsia="en-US"/>
        </w:rPr>
        <w:t>Odpowiedź:</w:t>
      </w:r>
    </w:p>
    <w:p w14:paraId="0D0B996B" w14:textId="77777777" w:rsidR="000F3977" w:rsidRPr="0042312F" w:rsidRDefault="008158D1" w:rsidP="00F82E23">
      <w:pPr>
        <w:pStyle w:val="Akapitzlist"/>
        <w:spacing w:after="120"/>
        <w:ind w:left="708"/>
        <w:rPr>
          <w:sz w:val="22"/>
          <w:szCs w:val="22"/>
          <w:lang w:eastAsia="en-US"/>
        </w:rPr>
      </w:pPr>
      <w:r w:rsidRPr="0042312F">
        <w:rPr>
          <w:sz w:val="22"/>
          <w:szCs w:val="22"/>
          <w:lang w:eastAsia="en-US"/>
        </w:rPr>
        <w:t>Wnioskodawca nie ma obowiązku dokumentowania wkładu własnego. W pkt. 3.2 Biznesplanu, wnioskodawca zobowiązany jest wskazać źródło pochodzenia wkładu własnego. Kondycja finansowa wnioskodawcy oceniana jest na podstawie Analizy finansowej stanowiącej załącznik do Biznesplanu, a także na podstawie dokumentów niezbędnych do finansowej oceny Wnioskodawcy, wskazanych w poz. 11 Załącznika nr 3 do Regulaminu. Odnosząc się do kwestii wkładu niepieniężnego, może on stanowić koszt</w:t>
      </w:r>
      <w:r w:rsidR="000F3977" w:rsidRPr="0042312F">
        <w:rPr>
          <w:sz w:val="22"/>
          <w:szCs w:val="22"/>
          <w:lang w:eastAsia="en-US"/>
        </w:rPr>
        <w:t xml:space="preserve"> kwalifikowalny, o ile wpisuje się w katalog kosztów kwalifikowalnych określony w </w:t>
      </w:r>
      <w:r w:rsidR="000F3977" w:rsidRPr="0042312F">
        <w:rPr>
          <w:i/>
          <w:iCs/>
          <w:sz w:val="22"/>
          <w:szCs w:val="22"/>
          <w:lang w:eastAsia="en-US"/>
        </w:rPr>
        <w:t xml:space="preserve">Zasadach kwalifikowalności (…), </w:t>
      </w:r>
      <w:r w:rsidR="000F3977" w:rsidRPr="0042312F">
        <w:rPr>
          <w:sz w:val="22"/>
          <w:szCs w:val="22"/>
          <w:lang w:eastAsia="en-US"/>
        </w:rPr>
        <w:t>stanowiących Załącznik nr 7.1 do Regulaminu wyboru.</w:t>
      </w:r>
    </w:p>
    <w:p w14:paraId="0D37D7CA" w14:textId="706AAA6F" w:rsidR="000F3977" w:rsidRPr="0042312F" w:rsidRDefault="0017688A" w:rsidP="00F82E23">
      <w:pPr>
        <w:pStyle w:val="Akapitzlist"/>
        <w:numPr>
          <w:ilvl w:val="0"/>
          <w:numId w:val="1"/>
        </w:numPr>
        <w:rPr>
          <w:sz w:val="22"/>
          <w:szCs w:val="22"/>
          <w:lang w:eastAsia="en-US"/>
        </w:rPr>
      </w:pPr>
      <w:r w:rsidRPr="0042312F">
        <w:rPr>
          <w:sz w:val="22"/>
          <w:szCs w:val="22"/>
          <w:lang w:eastAsia="en-US"/>
        </w:rPr>
        <w:t xml:space="preserve">Czy w kontekście wydatku </w:t>
      </w:r>
      <w:r w:rsidR="000F3977" w:rsidRPr="0042312F">
        <w:rPr>
          <w:sz w:val="22"/>
          <w:szCs w:val="22"/>
          <w:lang w:eastAsia="en-US"/>
        </w:rPr>
        <w:t>„</w:t>
      </w:r>
      <w:r w:rsidRPr="0042312F">
        <w:rPr>
          <w:sz w:val="22"/>
          <w:szCs w:val="22"/>
          <w:lang w:eastAsia="en-US"/>
        </w:rPr>
        <w:t>wirtualnego biura", wynajmu pomieszczeń biurowych, należało będzie wykorzystać do udostępniania pomieszczenia biurowe będące w posiadaniu IOB czy też uwzględnione mogą zostać inne kwalifikujące się pomieszczenia wskazane przez przedsiębiorców, jednakże wykorzystujące środki pozyskane na realizację zadania.</w:t>
      </w:r>
    </w:p>
    <w:p w14:paraId="25908E81" w14:textId="77777777" w:rsidR="000F3977" w:rsidRPr="0042312F" w:rsidRDefault="000F3977" w:rsidP="00F82E23">
      <w:pPr>
        <w:pStyle w:val="Akapitzlist"/>
        <w:ind w:left="0" w:firstLine="708"/>
        <w:rPr>
          <w:b/>
          <w:bCs/>
          <w:sz w:val="22"/>
          <w:szCs w:val="22"/>
          <w:lang w:eastAsia="en-US"/>
        </w:rPr>
      </w:pPr>
      <w:r w:rsidRPr="0042312F">
        <w:rPr>
          <w:b/>
          <w:bCs/>
          <w:sz w:val="22"/>
          <w:szCs w:val="22"/>
          <w:lang w:eastAsia="en-US"/>
        </w:rPr>
        <w:t>Odpowiedź:</w:t>
      </w:r>
    </w:p>
    <w:p w14:paraId="6B2C6890" w14:textId="3B56FCB6" w:rsidR="0017688A" w:rsidRPr="0042312F" w:rsidRDefault="000F3977" w:rsidP="00F82E23">
      <w:pPr>
        <w:pStyle w:val="Akapitzlist"/>
        <w:ind w:left="708"/>
        <w:rPr>
          <w:sz w:val="22"/>
          <w:szCs w:val="22"/>
          <w:lang w:eastAsia="en-US"/>
        </w:rPr>
      </w:pPr>
      <w:r w:rsidRPr="0042312F">
        <w:rPr>
          <w:rFonts w:eastAsiaTheme="minorHAnsi"/>
          <w:sz w:val="22"/>
          <w:szCs w:val="22"/>
          <w:lang w:eastAsia="en-US"/>
        </w:rPr>
        <w:t>Wnioskodawca na etapie aplikowania powinien wykazać, że dysponuje potencjałem niezbędnym do efektywnego wsparcia firm w początkowej fazie rozwoju (kryterium nr 23), tj. m.in. wykazać, że</w:t>
      </w:r>
      <w:r w:rsidRPr="0042312F">
        <w:rPr>
          <w:sz w:val="22"/>
          <w:szCs w:val="22"/>
        </w:rPr>
        <w:t xml:space="preserve"> </w:t>
      </w:r>
      <w:r w:rsidRPr="0042312F">
        <w:rPr>
          <w:rFonts w:eastAsiaTheme="minorHAnsi"/>
          <w:sz w:val="22"/>
          <w:szCs w:val="22"/>
          <w:lang w:eastAsia="en-US"/>
        </w:rPr>
        <w:t>dysponuje powierzchnią (potwierdzoną tytułem prawnym do dysponowania) wraz z niezbędnym wyposażeniem, umożliwiającą świadczenie usług min. 10 przedsiębiorstwom rocznie</w:t>
      </w:r>
      <w:r w:rsidR="00CD6F40" w:rsidRPr="0042312F">
        <w:rPr>
          <w:rFonts w:eastAsiaTheme="minorHAnsi"/>
          <w:sz w:val="22"/>
          <w:szCs w:val="22"/>
          <w:lang w:eastAsia="en-US"/>
        </w:rPr>
        <w:t>. Wobec tego to Wnioskodawca powinien zapewnić powierzchnię, z której skorzystają przedsiębiorcy. Nie jest możliwa refundacja przez Wnioskodawcę kosztów wynajmu wskazanego przez przedsiębiorcę pomieszczenia.</w:t>
      </w:r>
    </w:p>
    <w:bookmarkEnd w:id="12"/>
    <w:p w14:paraId="1D54D955" w14:textId="77777777" w:rsidR="009A57D4" w:rsidRPr="0042312F" w:rsidRDefault="009A57D4" w:rsidP="0042312F">
      <w:pPr>
        <w:spacing w:after="0" w:line="240" w:lineRule="auto"/>
      </w:pPr>
    </w:p>
    <w:sectPr w:rsidR="009A57D4" w:rsidRPr="0042312F" w:rsidSect="004B7CC8">
      <w:pgSz w:w="11906" w:h="16838"/>
      <w:pgMar w:top="113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altName w:val="Calibri"/>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0D92"/>
    <w:multiLevelType w:val="hybridMultilevel"/>
    <w:tmpl w:val="D1FE9F08"/>
    <w:lvl w:ilvl="0" w:tplc="724AF59A">
      <w:start w:val="1"/>
      <w:numFmt w:val="bullet"/>
      <w:lvlText w:val=""/>
      <w:lvlJc w:val="left"/>
      <w:pPr>
        <w:ind w:left="795" w:hanging="360"/>
      </w:pPr>
      <w:rPr>
        <w:rFonts w:ascii="Symbol" w:hAnsi="Symbol" w:hint="default"/>
        <w:sz w:val="16"/>
      </w:rPr>
    </w:lvl>
    <w:lvl w:ilvl="1" w:tplc="04150003">
      <w:start w:val="1"/>
      <w:numFmt w:val="bullet"/>
      <w:lvlText w:val="o"/>
      <w:lvlJc w:val="left"/>
      <w:pPr>
        <w:ind w:left="1515" w:hanging="360"/>
      </w:pPr>
      <w:rPr>
        <w:rFonts w:ascii="Courier New" w:hAnsi="Courier New" w:cs="Courier New" w:hint="default"/>
      </w:rPr>
    </w:lvl>
    <w:lvl w:ilvl="2" w:tplc="04150005">
      <w:start w:val="1"/>
      <w:numFmt w:val="bullet"/>
      <w:lvlText w:val=""/>
      <w:lvlJc w:val="left"/>
      <w:pPr>
        <w:ind w:left="2235" w:hanging="360"/>
      </w:pPr>
      <w:rPr>
        <w:rFonts w:ascii="Wingdings" w:hAnsi="Wingdings" w:hint="default"/>
      </w:rPr>
    </w:lvl>
    <w:lvl w:ilvl="3" w:tplc="04150001">
      <w:start w:val="1"/>
      <w:numFmt w:val="bullet"/>
      <w:lvlText w:val=""/>
      <w:lvlJc w:val="left"/>
      <w:pPr>
        <w:ind w:left="2955" w:hanging="360"/>
      </w:pPr>
      <w:rPr>
        <w:rFonts w:ascii="Symbol" w:hAnsi="Symbol" w:hint="default"/>
      </w:rPr>
    </w:lvl>
    <w:lvl w:ilvl="4" w:tplc="04150003">
      <w:start w:val="1"/>
      <w:numFmt w:val="bullet"/>
      <w:lvlText w:val="o"/>
      <w:lvlJc w:val="left"/>
      <w:pPr>
        <w:ind w:left="3675" w:hanging="360"/>
      </w:pPr>
      <w:rPr>
        <w:rFonts w:ascii="Courier New" w:hAnsi="Courier New" w:cs="Courier New" w:hint="default"/>
      </w:rPr>
    </w:lvl>
    <w:lvl w:ilvl="5" w:tplc="04150005">
      <w:start w:val="1"/>
      <w:numFmt w:val="bullet"/>
      <w:lvlText w:val=""/>
      <w:lvlJc w:val="left"/>
      <w:pPr>
        <w:ind w:left="4395" w:hanging="360"/>
      </w:pPr>
      <w:rPr>
        <w:rFonts w:ascii="Wingdings" w:hAnsi="Wingdings" w:hint="default"/>
      </w:rPr>
    </w:lvl>
    <w:lvl w:ilvl="6" w:tplc="04150001">
      <w:start w:val="1"/>
      <w:numFmt w:val="bullet"/>
      <w:lvlText w:val=""/>
      <w:lvlJc w:val="left"/>
      <w:pPr>
        <w:ind w:left="5115" w:hanging="360"/>
      </w:pPr>
      <w:rPr>
        <w:rFonts w:ascii="Symbol" w:hAnsi="Symbol" w:hint="default"/>
      </w:rPr>
    </w:lvl>
    <w:lvl w:ilvl="7" w:tplc="04150003">
      <w:start w:val="1"/>
      <w:numFmt w:val="bullet"/>
      <w:lvlText w:val="o"/>
      <w:lvlJc w:val="left"/>
      <w:pPr>
        <w:ind w:left="5835" w:hanging="360"/>
      </w:pPr>
      <w:rPr>
        <w:rFonts w:ascii="Courier New" w:hAnsi="Courier New" w:cs="Courier New" w:hint="default"/>
      </w:rPr>
    </w:lvl>
    <w:lvl w:ilvl="8" w:tplc="04150005">
      <w:start w:val="1"/>
      <w:numFmt w:val="bullet"/>
      <w:lvlText w:val=""/>
      <w:lvlJc w:val="left"/>
      <w:pPr>
        <w:ind w:left="6555" w:hanging="360"/>
      </w:pPr>
      <w:rPr>
        <w:rFonts w:ascii="Wingdings" w:hAnsi="Wingdings" w:hint="default"/>
      </w:rPr>
    </w:lvl>
  </w:abstractNum>
  <w:abstractNum w:abstractNumId="1" w15:restartNumberingAfterBreak="0">
    <w:nsid w:val="16C81B44"/>
    <w:multiLevelType w:val="hybridMultilevel"/>
    <w:tmpl w:val="FD66F0E6"/>
    <w:lvl w:ilvl="0" w:tplc="5C0E020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8D84E75"/>
    <w:multiLevelType w:val="hybridMultilevel"/>
    <w:tmpl w:val="E00A74D4"/>
    <w:lvl w:ilvl="0" w:tplc="5DB43CC8">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BB04042"/>
    <w:multiLevelType w:val="hybridMultilevel"/>
    <w:tmpl w:val="F02A0C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0E7CFF"/>
    <w:multiLevelType w:val="hybridMultilevel"/>
    <w:tmpl w:val="4F2E0196"/>
    <w:lvl w:ilvl="0" w:tplc="04150001">
      <w:start w:val="1"/>
      <w:numFmt w:val="bullet"/>
      <w:lvlText w:val=""/>
      <w:lvlJc w:val="left"/>
      <w:pPr>
        <w:ind w:left="1485" w:hanging="360"/>
      </w:pPr>
      <w:rPr>
        <w:rFonts w:ascii="Symbol" w:hAnsi="Symbol" w:hint="default"/>
      </w:rPr>
    </w:lvl>
    <w:lvl w:ilvl="1" w:tplc="04150003">
      <w:start w:val="1"/>
      <w:numFmt w:val="bullet"/>
      <w:lvlText w:val="o"/>
      <w:lvlJc w:val="left"/>
      <w:pPr>
        <w:ind w:left="2205" w:hanging="360"/>
      </w:pPr>
      <w:rPr>
        <w:rFonts w:ascii="Courier New" w:hAnsi="Courier New" w:cs="Courier New" w:hint="default"/>
      </w:rPr>
    </w:lvl>
    <w:lvl w:ilvl="2" w:tplc="04150005">
      <w:start w:val="1"/>
      <w:numFmt w:val="bullet"/>
      <w:lvlText w:val=""/>
      <w:lvlJc w:val="left"/>
      <w:pPr>
        <w:ind w:left="2925" w:hanging="360"/>
      </w:pPr>
      <w:rPr>
        <w:rFonts w:ascii="Wingdings" w:hAnsi="Wingdings" w:hint="default"/>
      </w:rPr>
    </w:lvl>
    <w:lvl w:ilvl="3" w:tplc="04150001">
      <w:start w:val="1"/>
      <w:numFmt w:val="bullet"/>
      <w:lvlText w:val=""/>
      <w:lvlJc w:val="left"/>
      <w:pPr>
        <w:ind w:left="3645" w:hanging="360"/>
      </w:pPr>
      <w:rPr>
        <w:rFonts w:ascii="Symbol" w:hAnsi="Symbol" w:hint="default"/>
      </w:rPr>
    </w:lvl>
    <w:lvl w:ilvl="4" w:tplc="04150003">
      <w:start w:val="1"/>
      <w:numFmt w:val="bullet"/>
      <w:lvlText w:val="o"/>
      <w:lvlJc w:val="left"/>
      <w:pPr>
        <w:ind w:left="4365" w:hanging="360"/>
      </w:pPr>
      <w:rPr>
        <w:rFonts w:ascii="Courier New" w:hAnsi="Courier New" w:cs="Courier New" w:hint="default"/>
      </w:rPr>
    </w:lvl>
    <w:lvl w:ilvl="5" w:tplc="04150005">
      <w:start w:val="1"/>
      <w:numFmt w:val="bullet"/>
      <w:lvlText w:val=""/>
      <w:lvlJc w:val="left"/>
      <w:pPr>
        <w:ind w:left="5085" w:hanging="360"/>
      </w:pPr>
      <w:rPr>
        <w:rFonts w:ascii="Wingdings" w:hAnsi="Wingdings" w:hint="default"/>
      </w:rPr>
    </w:lvl>
    <w:lvl w:ilvl="6" w:tplc="04150001">
      <w:start w:val="1"/>
      <w:numFmt w:val="bullet"/>
      <w:lvlText w:val=""/>
      <w:lvlJc w:val="left"/>
      <w:pPr>
        <w:ind w:left="5805" w:hanging="360"/>
      </w:pPr>
      <w:rPr>
        <w:rFonts w:ascii="Symbol" w:hAnsi="Symbol" w:hint="default"/>
      </w:rPr>
    </w:lvl>
    <w:lvl w:ilvl="7" w:tplc="04150003">
      <w:start w:val="1"/>
      <w:numFmt w:val="bullet"/>
      <w:lvlText w:val="o"/>
      <w:lvlJc w:val="left"/>
      <w:pPr>
        <w:ind w:left="6525" w:hanging="360"/>
      </w:pPr>
      <w:rPr>
        <w:rFonts w:ascii="Courier New" w:hAnsi="Courier New" w:cs="Courier New" w:hint="default"/>
      </w:rPr>
    </w:lvl>
    <w:lvl w:ilvl="8" w:tplc="04150005">
      <w:start w:val="1"/>
      <w:numFmt w:val="bullet"/>
      <w:lvlText w:val=""/>
      <w:lvlJc w:val="left"/>
      <w:pPr>
        <w:ind w:left="7245" w:hanging="360"/>
      </w:pPr>
      <w:rPr>
        <w:rFonts w:ascii="Wingdings" w:hAnsi="Wingdings" w:hint="default"/>
      </w:rPr>
    </w:lvl>
  </w:abstractNum>
  <w:abstractNum w:abstractNumId="5" w15:restartNumberingAfterBreak="0">
    <w:nsid w:val="6D622933"/>
    <w:multiLevelType w:val="hybridMultilevel"/>
    <w:tmpl w:val="7E8AD4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71D6582"/>
    <w:multiLevelType w:val="hybridMultilevel"/>
    <w:tmpl w:val="E7589940"/>
    <w:lvl w:ilvl="0" w:tplc="AFD87628">
      <w:start w:val="1"/>
      <w:numFmt w:val="bullet"/>
      <w:lvlText w:val=""/>
      <w:lvlJc w:val="left"/>
      <w:pPr>
        <w:ind w:left="720" w:hanging="360"/>
      </w:pPr>
      <w:rPr>
        <w:rFonts w:ascii="Symbol" w:hAnsi="Symbol" w:hint="default"/>
        <w:sz w:val="16"/>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7D3B0503"/>
    <w:multiLevelType w:val="hybridMultilevel"/>
    <w:tmpl w:val="DF1CE39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E3"/>
    <w:rsid w:val="000540DB"/>
    <w:rsid w:val="00066184"/>
    <w:rsid w:val="000D2760"/>
    <w:rsid w:val="000F3977"/>
    <w:rsid w:val="00152726"/>
    <w:rsid w:val="0017688A"/>
    <w:rsid w:val="001A51C7"/>
    <w:rsid w:val="001A5F6B"/>
    <w:rsid w:val="001C25D8"/>
    <w:rsid w:val="003040E5"/>
    <w:rsid w:val="003321FF"/>
    <w:rsid w:val="00333FAA"/>
    <w:rsid w:val="00351BEC"/>
    <w:rsid w:val="003B7574"/>
    <w:rsid w:val="003C3FCC"/>
    <w:rsid w:val="003E40AB"/>
    <w:rsid w:val="0042312F"/>
    <w:rsid w:val="004A7B21"/>
    <w:rsid w:val="004B7CC8"/>
    <w:rsid w:val="004E4A23"/>
    <w:rsid w:val="004F5A02"/>
    <w:rsid w:val="00520293"/>
    <w:rsid w:val="005362C7"/>
    <w:rsid w:val="005B0066"/>
    <w:rsid w:val="00623FA9"/>
    <w:rsid w:val="006A5424"/>
    <w:rsid w:val="006B584F"/>
    <w:rsid w:val="006E39C1"/>
    <w:rsid w:val="006E6368"/>
    <w:rsid w:val="00724308"/>
    <w:rsid w:val="00724881"/>
    <w:rsid w:val="00757975"/>
    <w:rsid w:val="00781120"/>
    <w:rsid w:val="00804B35"/>
    <w:rsid w:val="008158D1"/>
    <w:rsid w:val="00973C62"/>
    <w:rsid w:val="009950D9"/>
    <w:rsid w:val="009A57D4"/>
    <w:rsid w:val="009B7231"/>
    <w:rsid w:val="009D2875"/>
    <w:rsid w:val="009E78ED"/>
    <w:rsid w:val="00A45177"/>
    <w:rsid w:val="00AE0935"/>
    <w:rsid w:val="00B90E28"/>
    <w:rsid w:val="00BC4EE3"/>
    <w:rsid w:val="00C06B29"/>
    <w:rsid w:val="00C1787E"/>
    <w:rsid w:val="00C55667"/>
    <w:rsid w:val="00CD6F40"/>
    <w:rsid w:val="00CF169D"/>
    <w:rsid w:val="00CF1DD9"/>
    <w:rsid w:val="00D5289D"/>
    <w:rsid w:val="00D800F0"/>
    <w:rsid w:val="00E5524D"/>
    <w:rsid w:val="00E827F6"/>
    <w:rsid w:val="00EE7CA6"/>
    <w:rsid w:val="00F35103"/>
    <w:rsid w:val="00F45787"/>
    <w:rsid w:val="00F560C4"/>
    <w:rsid w:val="00F82E23"/>
    <w:rsid w:val="00FC69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9385"/>
  <w15:chartTrackingRefBased/>
  <w15:docId w15:val="{6F34907A-6AC2-4223-B39D-A5A037CB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4EE3"/>
    <w:pPr>
      <w:spacing w:after="0" w:line="240" w:lineRule="auto"/>
      <w:ind w:left="720"/>
    </w:pPr>
    <w:rPr>
      <w:rFonts w:ascii="Aptos" w:eastAsia="Times New Roman" w:hAnsi="Aptos" w:cs="Calibri"/>
      <w:sz w:val="20"/>
      <w:szCs w:val="20"/>
      <w:lang w:eastAsia="pl-PL"/>
      <w14:ligatures w14:val="standardContextual"/>
    </w:rPr>
  </w:style>
  <w:style w:type="paragraph" w:styleId="NormalnyWeb">
    <w:name w:val="Normal (Web)"/>
    <w:basedOn w:val="Normalny"/>
    <w:uiPriority w:val="99"/>
    <w:semiHidden/>
    <w:unhideWhenUsed/>
    <w:rsid w:val="00724308"/>
    <w:pPr>
      <w:spacing w:before="100" w:beforeAutospacing="1" w:after="100" w:afterAutospacing="1" w:line="240" w:lineRule="auto"/>
    </w:pPr>
    <w:rPr>
      <w:rFonts w:ascii="Calibri" w:hAnsi="Calibri" w:cs="Calibri"/>
      <w:lang w:eastAsia="pl-PL"/>
    </w:rPr>
  </w:style>
  <w:style w:type="character" w:styleId="Hipercze">
    <w:name w:val="Hyperlink"/>
    <w:basedOn w:val="Domylnaczcionkaakapitu"/>
    <w:uiPriority w:val="99"/>
    <w:unhideWhenUsed/>
    <w:rsid w:val="00E5524D"/>
    <w:rPr>
      <w:color w:val="0563C1" w:themeColor="hyperlink"/>
      <w:u w:val="single"/>
    </w:rPr>
  </w:style>
  <w:style w:type="character" w:styleId="Nierozpoznanawzmianka">
    <w:name w:val="Unresolved Mention"/>
    <w:basedOn w:val="Domylnaczcionkaakapitu"/>
    <w:uiPriority w:val="99"/>
    <w:semiHidden/>
    <w:unhideWhenUsed/>
    <w:rsid w:val="00E5524D"/>
    <w:rPr>
      <w:color w:val="605E5C"/>
      <w:shd w:val="clear" w:color="auto" w:fill="E1DFDD"/>
    </w:rPr>
  </w:style>
  <w:style w:type="character" w:styleId="UyteHipercze">
    <w:name w:val="FollowedHyperlink"/>
    <w:basedOn w:val="Domylnaczcionkaakapitu"/>
    <w:uiPriority w:val="99"/>
    <w:semiHidden/>
    <w:unhideWhenUsed/>
    <w:rsid w:val="005202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731307">
      <w:bodyDiv w:val="1"/>
      <w:marLeft w:val="0"/>
      <w:marRight w:val="0"/>
      <w:marTop w:val="0"/>
      <w:marBottom w:val="0"/>
      <w:divBdr>
        <w:top w:val="none" w:sz="0" w:space="0" w:color="auto"/>
        <w:left w:val="none" w:sz="0" w:space="0" w:color="auto"/>
        <w:bottom w:val="none" w:sz="0" w:space="0" w:color="auto"/>
        <w:right w:val="none" w:sz="0" w:space="0" w:color="auto"/>
      </w:divBdr>
    </w:div>
    <w:div w:id="665742765">
      <w:bodyDiv w:val="1"/>
      <w:marLeft w:val="0"/>
      <w:marRight w:val="0"/>
      <w:marTop w:val="0"/>
      <w:marBottom w:val="0"/>
      <w:divBdr>
        <w:top w:val="none" w:sz="0" w:space="0" w:color="auto"/>
        <w:left w:val="none" w:sz="0" w:space="0" w:color="auto"/>
        <w:bottom w:val="none" w:sz="0" w:space="0" w:color="auto"/>
        <w:right w:val="none" w:sz="0" w:space="0" w:color="auto"/>
      </w:divBdr>
    </w:div>
    <w:div w:id="869682340">
      <w:bodyDiv w:val="1"/>
      <w:marLeft w:val="0"/>
      <w:marRight w:val="0"/>
      <w:marTop w:val="0"/>
      <w:marBottom w:val="0"/>
      <w:divBdr>
        <w:top w:val="none" w:sz="0" w:space="0" w:color="auto"/>
        <w:left w:val="none" w:sz="0" w:space="0" w:color="auto"/>
        <w:bottom w:val="none" w:sz="0" w:space="0" w:color="auto"/>
        <w:right w:val="none" w:sz="0" w:space="0" w:color="auto"/>
      </w:divBdr>
    </w:div>
    <w:div w:id="974337706">
      <w:bodyDiv w:val="1"/>
      <w:marLeft w:val="0"/>
      <w:marRight w:val="0"/>
      <w:marTop w:val="0"/>
      <w:marBottom w:val="0"/>
      <w:divBdr>
        <w:top w:val="none" w:sz="0" w:space="0" w:color="auto"/>
        <w:left w:val="none" w:sz="0" w:space="0" w:color="auto"/>
        <w:bottom w:val="none" w:sz="0" w:space="0" w:color="auto"/>
        <w:right w:val="none" w:sz="0" w:space="0" w:color="auto"/>
      </w:divBdr>
    </w:div>
    <w:div w:id="996878951">
      <w:bodyDiv w:val="1"/>
      <w:marLeft w:val="0"/>
      <w:marRight w:val="0"/>
      <w:marTop w:val="0"/>
      <w:marBottom w:val="0"/>
      <w:divBdr>
        <w:top w:val="none" w:sz="0" w:space="0" w:color="auto"/>
        <w:left w:val="none" w:sz="0" w:space="0" w:color="auto"/>
        <w:bottom w:val="none" w:sz="0" w:space="0" w:color="auto"/>
        <w:right w:val="none" w:sz="0" w:space="0" w:color="auto"/>
      </w:divBdr>
    </w:div>
    <w:div w:id="1096248725">
      <w:bodyDiv w:val="1"/>
      <w:marLeft w:val="0"/>
      <w:marRight w:val="0"/>
      <w:marTop w:val="0"/>
      <w:marBottom w:val="0"/>
      <w:divBdr>
        <w:top w:val="none" w:sz="0" w:space="0" w:color="auto"/>
        <w:left w:val="none" w:sz="0" w:space="0" w:color="auto"/>
        <w:bottom w:val="none" w:sz="0" w:space="0" w:color="auto"/>
        <w:right w:val="none" w:sz="0" w:space="0" w:color="auto"/>
      </w:divBdr>
    </w:div>
    <w:div w:id="1487093263">
      <w:bodyDiv w:val="1"/>
      <w:marLeft w:val="0"/>
      <w:marRight w:val="0"/>
      <w:marTop w:val="0"/>
      <w:marBottom w:val="0"/>
      <w:divBdr>
        <w:top w:val="none" w:sz="0" w:space="0" w:color="auto"/>
        <w:left w:val="none" w:sz="0" w:space="0" w:color="auto"/>
        <w:bottom w:val="none" w:sz="0" w:space="0" w:color="auto"/>
        <w:right w:val="none" w:sz="0" w:space="0" w:color="auto"/>
      </w:divBdr>
    </w:div>
    <w:div w:id="1725984731">
      <w:bodyDiv w:val="1"/>
      <w:marLeft w:val="0"/>
      <w:marRight w:val="0"/>
      <w:marTop w:val="0"/>
      <w:marBottom w:val="0"/>
      <w:divBdr>
        <w:top w:val="none" w:sz="0" w:space="0" w:color="auto"/>
        <w:left w:val="none" w:sz="0" w:space="0" w:color="auto"/>
        <w:bottom w:val="none" w:sz="0" w:space="0" w:color="auto"/>
        <w:right w:val="none" w:sz="0" w:space="0" w:color="auto"/>
      </w:divBdr>
    </w:div>
    <w:div w:id="19763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europejskie.warmia.mazury.pl/artykul/57/wykaz-pojec-i-definicji-programu-regionalnego-na-lata-2021-2027-fundusze-europejskie-dla-warmii-i-mazur" TargetMode="External"/><Relationship Id="rId3" Type="http://schemas.openxmlformats.org/officeDocument/2006/relationships/settings" Target="settings.xml"/><Relationship Id="rId7" Type="http://schemas.openxmlformats.org/officeDocument/2006/relationships/image" Target="cid:image003.png@01DB2EAF.8F5071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funduszeeuropejskie.warmia.mazury.pl/artykul/57/wykaz-pojec-i-definicji-programu-regionalnego-na-lata-2021-2027-fundusze-europejskie-dla-warmii-i-mazu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10565</TotalTime>
  <Pages>9</Pages>
  <Words>4665</Words>
  <Characters>27995</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Pisanko</dc:creator>
  <cp:keywords/>
  <dc:description/>
  <cp:lastModifiedBy>Marzena Pisanko</cp:lastModifiedBy>
  <cp:revision>17</cp:revision>
  <cp:lastPrinted>2024-11-08T13:29:00Z</cp:lastPrinted>
  <dcterms:created xsi:type="dcterms:W3CDTF">2024-10-29T12:40:00Z</dcterms:created>
  <dcterms:modified xsi:type="dcterms:W3CDTF">2024-11-18T12:59:00Z</dcterms:modified>
</cp:coreProperties>
</file>