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CE08" w14:textId="2C1EAB31" w:rsidR="00AD21E4" w:rsidRDefault="00AD21E4" w:rsidP="00AD21E4">
      <w:pPr>
        <w:spacing w:line="360" w:lineRule="auto"/>
        <w:rPr>
          <w:rFonts w:ascii="Arial" w:hAnsi="Arial" w:cs="Arial"/>
          <w:b/>
          <w:bCs/>
        </w:rPr>
      </w:pPr>
      <w:bookmarkStart w:id="0" w:name="_Hlk166765288"/>
      <w:r>
        <w:rPr>
          <w:rFonts w:ascii="Arial" w:hAnsi="Arial" w:cs="Arial"/>
          <w:b/>
          <w:bCs/>
        </w:rPr>
        <w:t>PYTANIE</w:t>
      </w:r>
    </w:p>
    <w:bookmarkEnd w:id="0"/>
    <w:p w14:paraId="4843A630" w14:textId="5B3375C0" w:rsidR="00CE68AD" w:rsidRDefault="00CE68AD" w:rsidP="00AD21E4">
      <w:pPr>
        <w:spacing w:line="360" w:lineRule="auto"/>
        <w:rPr>
          <w:rFonts w:ascii="Arial" w:hAnsi="Arial" w:cs="Arial"/>
          <w:color w:val="000000"/>
        </w:rPr>
      </w:pPr>
      <w:r w:rsidRPr="00CE68AD">
        <w:rPr>
          <w:rFonts w:ascii="Arial" w:hAnsi="Arial" w:cs="Arial"/>
          <w:color w:val="000000"/>
        </w:rPr>
        <w:t>Czy w projekcie</w:t>
      </w:r>
      <w:r w:rsidR="00066F47">
        <w:rPr>
          <w:rFonts w:ascii="Arial" w:hAnsi="Arial" w:cs="Arial"/>
          <w:color w:val="000000"/>
        </w:rPr>
        <w:t>,</w:t>
      </w:r>
      <w:r w:rsidRPr="00CE68AD">
        <w:rPr>
          <w:rFonts w:ascii="Arial" w:hAnsi="Arial" w:cs="Arial"/>
          <w:color w:val="000000"/>
        </w:rPr>
        <w:t xml:space="preserve"> w którym jedną z form wsparcia dla </w:t>
      </w:r>
      <w:r w:rsidR="00066F47">
        <w:rPr>
          <w:rFonts w:ascii="Arial" w:hAnsi="Arial" w:cs="Arial"/>
          <w:color w:val="000000"/>
        </w:rPr>
        <w:t>p</w:t>
      </w:r>
      <w:r w:rsidRPr="00CE68AD">
        <w:rPr>
          <w:rFonts w:ascii="Arial" w:hAnsi="Arial" w:cs="Arial"/>
          <w:color w:val="000000"/>
        </w:rPr>
        <w:t>racodawców (</w:t>
      </w:r>
      <w:r w:rsidR="00066F47">
        <w:rPr>
          <w:rFonts w:ascii="Arial" w:hAnsi="Arial" w:cs="Arial"/>
          <w:color w:val="000000"/>
        </w:rPr>
        <w:t>g</w:t>
      </w:r>
      <w:r w:rsidRPr="00CE68AD">
        <w:rPr>
          <w:rFonts w:ascii="Arial" w:hAnsi="Arial" w:cs="Arial"/>
          <w:color w:val="000000"/>
        </w:rPr>
        <w:t>rupa docelowa) stanowić będzie doposażenie miejsca pracy umożliwiające pracę zdalną, a wsparcie będzie miało charakter pomocy de minimis</w:t>
      </w:r>
      <w:r w:rsidR="00066F47">
        <w:rPr>
          <w:rFonts w:ascii="Arial" w:hAnsi="Arial" w:cs="Arial"/>
          <w:color w:val="000000"/>
        </w:rPr>
        <w:t>,</w:t>
      </w:r>
      <w:r w:rsidRPr="00CE68AD">
        <w:rPr>
          <w:rFonts w:ascii="Arial" w:hAnsi="Arial" w:cs="Arial"/>
          <w:color w:val="000000"/>
        </w:rPr>
        <w:t xml:space="preserve"> obowiązuje trwałość projektu?</w:t>
      </w:r>
    </w:p>
    <w:p w14:paraId="3A57214A" w14:textId="458CDE94" w:rsidR="00282750" w:rsidRDefault="00AD21E4" w:rsidP="00AD21E4">
      <w:pPr>
        <w:spacing w:line="360" w:lineRule="auto"/>
        <w:rPr>
          <w:rFonts w:ascii="Arial" w:hAnsi="Arial" w:cs="Arial"/>
          <w:b/>
          <w:bCs/>
        </w:rPr>
      </w:pPr>
      <w:r w:rsidRPr="00D97AEF">
        <w:rPr>
          <w:rFonts w:ascii="Arial" w:hAnsi="Arial" w:cs="Arial"/>
          <w:b/>
          <w:bCs/>
        </w:rPr>
        <w:t>ODPOWIEDŹ:</w:t>
      </w:r>
    </w:p>
    <w:p w14:paraId="1438E3A1" w14:textId="77623963" w:rsidR="00C7713A" w:rsidRDefault="00C9631E" w:rsidP="003426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Zachowanie trwałości projektu obowiązuje w odniesieniu do wydatków ponoszonych jako cross-financing, zgodnie z </w:t>
      </w:r>
      <w:r w:rsidR="00066F47">
        <w:rPr>
          <w:rFonts w:ascii="Arial" w:hAnsi="Arial" w:cs="Arial"/>
        </w:rPr>
        <w:t>p</w:t>
      </w:r>
      <w:r>
        <w:rPr>
          <w:rFonts w:ascii="Arial" w:hAnsi="Arial" w:cs="Arial"/>
        </w:rPr>
        <w:t>odrozdziałem 2.6 Wytycznych dotyczących kwalifikowalności wydatków na lata 2021</w:t>
      </w:r>
      <w:r w:rsidR="00066F47">
        <w:rPr>
          <w:rFonts w:ascii="Arial" w:hAnsi="Arial" w:cs="Arial"/>
        </w:rPr>
        <w:t>–</w:t>
      </w:r>
      <w:r>
        <w:rPr>
          <w:rFonts w:ascii="Arial" w:hAnsi="Arial" w:cs="Arial"/>
        </w:rPr>
        <w:t>2027.</w:t>
      </w:r>
      <w:r w:rsidR="00C7713A">
        <w:rPr>
          <w:rFonts w:ascii="Arial" w:hAnsi="Arial" w:cs="Arial"/>
        </w:rPr>
        <w:t xml:space="preserve"> </w:t>
      </w:r>
      <w:r w:rsidR="00774771">
        <w:rPr>
          <w:rFonts w:ascii="Arial" w:hAnsi="Arial" w:cs="Arial"/>
        </w:rPr>
        <w:t>Trwałość musi być zachowana przez okres 5 lat (3 lat w przypadku MŚP).</w:t>
      </w:r>
    </w:p>
    <w:p w14:paraId="05D1D00C" w14:textId="0E407225" w:rsidR="00743E9C" w:rsidRDefault="00066F47" w:rsidP="003426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7713A">
        <w:rPr>
          <w:rFonts w:ascii="Arial" w:hAnsi="Arial" w:cs="Arial"/>
        </w:rPr>
        <w:t>Żeby doposażenie (zakup mebli, sprzętu i pojazdów) nie był objęty cross-financingiem</w:t>
      </w:r>
      <w:r w:rsidR="00E8056A">
        <w:rPr>
          <w:rFonts w:ascii="Arial" w:hAnsi="Arial" w:cs="Arial"/>
        </w:rPr>
        <w:t>, musi zostać spełniony którykolwiek z poniższych warunków</w:t>
      </w:r>
      <w:r w:rsidR="00C7713A">
        <w:rPr>
          <w:rFonts w:ascii="Arial" w:hAnsi="Arial" w:cs="Arial"/>
        </w:rPr>
        <w:t>:</w:t>
      </w:r>
    </w:p>
    <w:p w14:paraId="1FDBACDC" w14:textId="544A3BBE" w:rsidR="00C7713A" w:rsidRDefault="00C7713A" w:rsidP="00C7713A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zakupy te zostaną zamortyzowane w całości w okresie realizacji projektu,</w:t>
      </w:r>
    </w:p>
    <w:p w14:paraId="79A72DE6" w14:textId="797A4906" w:rsidR="00C7713A" w:rsidRDefault="00066F47" w:rsidP="00C7713A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7713A">
        <w:rPr>
          <w:rFonts w:ascii="Arial" w:hAnsi="Arial" w:cs="Arial"/>
        </w:rPr>
        <w:t>eneficjent udowodni, że zakup będzie najbardziej opłacalną opcją,</w:t>
      </w:r>
    </w:p>
    <w:p w14:paraId="30E91C87" w14:textId="639B917F" w:rsidR="00C7713A" w:rsidRDefault="00C7713A" w:rsidP="00C7713A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zakupy te są konieczne dla osiągnięcia celów projektu.</w:t>
      </w:r>
    </w:p>
    <w:p w14:paraId="6229A9E0" w14:textId="388375B4" w:rsidR="00E8056A" w:rsidRDefault="00A968DC" w:rsidP="00E805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mebli, sprzętu i pojazdów niespełniający żadnego z ww. warunków stanowi cross-financing</w:t>
      </w:r>
      <w:r w:rsidR="00774771">
        <w:rPr>
          <w:rFonts w:ascii="Arial" w:hAnsi="Arial" w:cs="Arial"/>
        </w:rPr>
        <w:t>, w związku z czym będzie objęty obowiązkiem zachowania trwałości</w:t>
      </w:r>
      <w:r>
        <w:rPr>
          <w:rFonts w:ascii="Arial" w:hAnsi="Arial" w:cs="Arial"/>
        </w:rPr>
        <w:t>.</w:t>
      </w:r>
    </w:p>
    <w:p w14:paraId="26475881" w14:textId="77777777" w:rsidR="00774771" w:rsidRPr="00E8056A" w:rsidRDefault="00774771" w:rsidP="00E8056A">
      <w:pPr>
        <w:spacing w:after="0" w:line="360" w:lineRule="auto"/>
        <w:rPr>
          <w:rFonts w:ascii="Arial" w:hAnsi="Arial" w:cs="Arial"/>
        </w:rPr>
      </w:pPr>
    </w:p>
    <w:p w14:paraId="03A053F3" w14:textId="1E220BF7" w:rsidR="00C7713A" w:rsidRPr="00C7713A" w:rsidRDefault="00156E24" w:rsidP="00C7713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 kolei z</w:t>
      </w:r>
      <w:r w:rsidRPr="00156E24">
        <w:rPr>
          <w:rFonts w:ascii="Arial" w:hAnsi="Arial" w:cs="Arial"/>
        </w:rPr>
        <w:t>akup infrastruktury rozumi</w:t>
      </w:r>
      <w:r>
        <w:rPr>
          <w:rFonts w:ascii="Arial" w:hAnsi="Arial" w:cs="Arial"/>
        </w:rPr>
        <w:t>any</w:t>
      </w:r>
      <w:r w:rsidRPr="00156E24">
        <w:rPr>
          <w:rFonts w:ascii="Arial" w:hAnsi="Arial" w:cs="Arial"/>
        </w:rPr>
        <w:t xml:space="preserve">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 wykonanie podjazdu do budynku, zainstalowanie windy w budynku, renowacja budynku lub pomieszczeń, prace adaptacyjne w budynku lub pomieszczeniach)</w:t>
      </w:r>
      <w:r>
        <w:rPr>
          <w:rFonts w:ascii="Arial" w:hAnsi="Arial" w:cs="Arial"/>
        </w:rPr>
        <w:t xml:space="preserve"> będzie zawsze stanowił cross-financing</w:t>
      </w:r>
      <w:r w:rsidR="00FE3A23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 związku z tym będzie objęty obowiązkiem zachowania trwałości.</w:t>
      </w:r>
    </w:p>
    <w:sectPr w:rsidR="00C7713A" w:rsidRPr="00C7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8A7"/>
    <w:multiLevelType w:val="hybridMultilevel"/>
    <w:tmpl w:val="C7465332"/>
    <w:lvl w:ilvl="0" w:tplc="9CA272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17B78"/>
    <w:multiLevelType w:val="hybridMultilevel"/>
    <w:tmpl w:val="F51CD7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B41D7"/>
    <w:multiLevelType w:val="hybridMultilevel"/>
    <w:tmpl w:val="687EFF4A"/>
    <w:lvl w:ilvl="0" w:tplc="5880A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7C0B"/>
    <w:multiLevelType w:val="hybridMultilevel"/>
    <w:tmpl w:val="1F2E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B462F"/>
    <w:multiLevelType w:val="hybridMultilevel"/>
    <w:tmpl w:val="A89296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C87361"/>
    <w:multiLevelType w:val="hybridMultilevel"/>
    <w:tmpl w:val="657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E44DA"/>
    <w:multiLevelType w:val="hybridMultilevel"/>
    <w:tmpl w:val="244498F2"/>
    <w:lvl w:ilvl="0" w:tplc="9CA272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6C79F0"/>
    <w:multiLevelType w:val="hybridMultilevel"/>
    <w:tmpl w:val="A09C0040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320377"/>
    <w:multiLevelType w:val="hybridMultilevel"/>
    <w:tmpl w:val="4E068FE0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F45D65"/>
    <w:multiLevelType w:val="hybridMultilevel"/>
    <w:tmpl w:val="8C7E630C"/>
    <w:lvl w:ilvl="0" w:tplc="9CA272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C0"/>
    <w:rsid w:val="0005248C"/>
    <w:rsid w:val="000654DD"/>
    <w:rsid w:val="00066F47"/>
    <w:rsid w:val="000A44C7"/>
    <w:rsid w:val="000F39DB"/>
    <w:rsid w:val="00140854"/>
    <w:rsid w:val="00150BE9"/>
    <w:rsid w:val="00156E24"/>
    <w:rsid w:val="00167BF0"/>
    <w:rsid w:val="001B0770"/>
    <w:rsid w:val="001D06A5"/>
    <w:rsid w:val="001F5F9A"/>
    <w:rsid w:val="00281D83"/>
    <w:rsid w:val="00282750"/>
    <w:rsid w:val="002E2BC0"/>
    <w:rsid w:val="00317260"/>
    <w:rsid w:val="00342636"/>
    <w:rsid w:val="003839B5"/>
    <w:rsid w:val="003A0D72"/>
    <w:rsid w:val="003D2CD1"/>
    <w:rsid w:val="003E76A0"/>
    <w:rsid w:val="00413EAF"/>
    <w:rsid w:val="00434706"/>
    <w:rsid w:val="004B37BE"/>
    <w:rsid w:val="004D01FA"/>
    <w:rsid w:val="00554916"/>
    <w:rsid w:val="0058477F"/>
    <w:rsid w:val="00661020"/>
    <w:rsid w:val="006C2B32"/>
    <w:rsid w:val="006F1698"/>
    <w:rsid w:val="00732B6C"/>
    <w:rsid w:val="00743E9C"/>
    <w:rsid w:val="00774771"/>
    <w:rsid w:val="00781D2F"/>
    <w:rsid w:val="007A6833"/>
    <w:rsid w:val="008252FA"/>
    <w:rsid w:val="00826EF7"/>
    <w:rsid w:val="00833262"/>
    <w:rsid w:val="008429FB"/>
    <w:rsid w:val="00856891"/>
    <w:rsid w:val="00866951"/>
    <w:rsid w:val="008A258A"/>
    <w:rsid w:val="009219B9"/>
    <w:rsid w:val="009E398C"/>
    <w:rsid w:val="00A15032"/>
    <w:rsid w:val="00A56CDC"/>
    <w:rsid w:val="00A968DC"/>
    <w:rsid w:val="00AD21E4"/>
    <w:rsid w:val="00AE05C3"/>
    <w:rsid w:val="00AE2658"/>
    <w:rsid w:val="00B13E9C"/>
    <w:rsid w:val="00B24256"/>
    <w:rsid w:val="00B42C68"/>
    <w:rsid w:val="00BF3DF4"/>
    <w:rsid w:val="00C22107"/>
    <w:rsid w:val="00C23731"/>
    <w:rsid w:val="00C43EC0"/>
    <w:rsid w:val="00C7713A"/>
    <w:rsid w:val="00C9631E"/>
    <w:rsid w:val="00CE68AD"/>
    <w:rsid w:val="00D81959"/>
    <w:rsid w:val="00D97AEF"/>
    <w:rsid w:val="00DD5FD3"/>
    <w:rsid w:val="00E756D7"/>
    <w:rsid w:val="00E8056A"/>
    <w:rsid w:val="00E868F0"/>
    <w:rsid w:val="00EC1163"/>
    <w:rsid w:val="00EF4BB7"/>
    <w:rsid w:val="00F46600"/>
    <w:rsid w:val="00F74D9A"/>
    <w:rsid w:val="00FC6371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FEC7"/>
  <w15:chartTrackingRefBased/>
  <w15:docId w15:val="{867202A7-7580-4D28-A8DF-46268C35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Akapit z listą1,maz_wyliczenie,opis dzialania,K-P_odwolanie,A_wyliczenie,Akapit z listą5,Akapit z listą11,Numbered Para 1,No Spacing1,List Paragraph Char Char Char,Indicator Text,Listaszerű bekezdés1"/>
    <w:basedOn w:val="Normalny"/>
    <w:link w:val="AkapitzlistZnak"/>
    <w:uiPriority w:val="34"/>
    <w:qFormat/>
    <w:rsid w:val="002E2B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Wykres Znak,Akapit z listą1 Znak,maz_wyliczenie Znak,opis dzialania Znak,K-P_odwolanie Znak,A_wyliczenie Znak,Akapit z listą5 Znak,Akapit z listą11 Znak,Numbered Para 1 Znak,No Spacing1 Znak"/>
    <w:link w:val="Akapitzlist"/>
    <w:uiPriority w:val="34"/>
    <w:qFormat/>
    <w:locked/>
    <w:rsid w:val="007A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3904-0A0F-4DA7-BF58-3CBFD18A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Dudulewicz</dc:creator>
  <cp:keywords/>
  <dc:description/>
  <cp:lastModifiedBy>Kinga Müller</cp:lastModifiedBy>
  <cp:revision>3</cp:revision>
  <cp:lastPrinted>2023-07-11T06:37:00Z</cp:lastPrinted>
  <dcterms:created xsi:type="dcterms:W3CDTF">2024-06-18T10:39:00Z</dcterms:created>
  <dcterms:modified xsi:type="dcterms:W3CDTF">2024-06-18T10:40:00Z</dcterms:modified>
</cp:coreProperties>
</file>