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3E55" w14:textId="4E505CA2" w:rsidR="00725D0B" w:rsidRPr="00725D0B" w:rsidRDefault="00725D0B" w:rsidP="00725D0B">
      <w:pPr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725D0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Pytanie 1:</w:t>
      </w:r>
    </w:p>
    <w:p w14:paraId="7E5F19F1" w14:textId="77777777" w:rsidR="00725D0B" w:rsidRPr="00725D0B" w:rsidRDefault="00725D0B" w:rsidP="00725D0B">
      <w:pPr>
        <w:pStyle w:val="Default"/>
        <w:rPr>
          <w:rFonts w:asciiTheme="minorHAnsi" w:hAnsiTheme="minorHAnsi" w:cstheme="minorHAnsi"/>
          <w:color w:val="auto"/>
          <w:lang w:eastAsia="en-US"/>
        </w:rPr>
      </w:pPr>
      <w:r w:rsidRPr="00725D0B">
        <w:rPr>
          <w:rFonts w:asciiTheme="minorHAnsi" w:hAnsiTheme="minorHAnsi" w:cstheme="minorHAnsi"/>
          <w:color w:val="auto"/>
          <w:lang w:eastAsia="en-US"/>
        </w:rPr>
        <w:t xml:space="preserve">Wnioskodawca prowadzi działalność, której celem jest rozwój edukacji, poprawa jakości i efektywności systemu oświaty i/lub rozwój metod i narzędzi edukacyjnych. </w:t>
      </w:r>
    </w:p>
    <w:p w14:paraId="5BD0A376" w14:textId="77777777" w:rsidR="00725D0B" w:rsidRPr="00725D0B" w:rsidRDefault="00725D0B" w:rsidP="00725D0B">
      <w:pPr>
        <w:pStyle w:val="Default"/>
        <w:rPr>
          <w:rFonts w:asciiTheme="minorHAnsi" w:hAnsiTheme="minorHAnsi" w:cstheme="minorHAnsi"/>
          <w:color w:val="auto"/>
          <w:lang w:eastAsia="en-US"/>
        </w:rPr>
      </w:pPr>
      <w:r w:rsidRPr="00725D0B">
        <w:rPr>
          <w:rFonts w:asciiTheme="minorHAnsi" w:hAnsiTheme="minorHAnsi" w:cstheme="minorHAnsi"/>
          <w:color w:val="auto"/>
          <w:lang w:eastAsia="en-US"/>
        </w:rPr>
        <w:t xml:space="preserve">Definicja kryterium brzmi następująco: Wnioskodawcą jest instytucja/podmiot, który zgodnie z prowadzoną statutową działalnością realizuje działania ukierunkowane na rozwój edukacji, poprawę jakości i efektywności systemu oświaty i/lub rozwój metod i narzędzi edukacyjnych. </w:t>
      </w:r>
    </w:p>
    <w:p w14:paraId="6E1BD38F" w14:textId="77777777" w:rsidR="00725D0B" w:rsidRPr="00725D0B" w:rsidRDefault="00725D0B" w:rsidP="00725D0B">
      <w:pPr>
        <w:pStyle w:val="Default"/>
        <w:rPr>
          <w:rFonts w:asciiTheme="minorHAnsi" w:hAnsiTheme="minorHAnsi" w:cstheme="minorHAnsi"/>
          <w:color w:val="auto"/>
          <w:lang w:eastAsia="en-US"/>
        </w:rPr>
      </w:pPr>
      <w:r w:rsidRPr="00725D0B">
        <w:rPr>
          <w:rFonts w:asciiTheme="minorHAnsi" w:hAnsiTheme="minorHAnsi" w:cstheme="minorHAnsi"/>
          <w:color w:val="auto"/>
          <w:lang w:eastAsia="en-US"/>
        </w:rPr>
        <w:t xml:space="preserve">Przez działalność statutową rozumie się działalność określoną w statucie, umowie spółki lub innym dokumencie określającym działalność instytucji/podmiotu. </w:t>
      </w:r>
    </w:p>
    <w:p w14:paraId="3C901228" w14:textId="77777777" w:rsidR="00725D0B" w:rsidRPr="00725D0B" w:rsidRDefault="00725D0B" w:rsidP="00725D0B">
      <w:pPr>
        <w:pStyle w:val="Default"/>
        <w:rPr>
          <w:rFonts w:asciiTheme="minorHAnsi" w:hAnsiTheme="minorHAnsi" w:cstheme="minorHAnsi"/>
          <w:color w:val="auto"/>
          <w:lang w:eastAsia="en-US"/>
        </w:rPr>
      </w:pPr>
    </w:p>
    <w:p w14:paraId="12AE47BE" w14:textId="706E08B2" w:rsidR="00725D0B" w:rsidRPr="00725D0B" w:rsidRDefault="00725D0B" w:rsidP="00725D0B">
      <w:pPr>
        <w:pStyle w:val="Default"/>
        <w:rPr>
          <w:rFonts w:asciiTheme="minorHAnsi" w:hAnsiTheme="minorHAnsi" w:cstheme="minorHAnsi"/>
          <w:color w:val="auto"/>
          <w:lang w:eastAsia="en-US"/>
        </w:rPr>
      </w:pPr>
      <w:r w:rsidRPr="00725D0B">
        <w:rPr>
          <w:rFonts w:asciiTheme="minorHAnsi" w:hAnsiTheme="minorHAnsi" w:cstheme="minorHAnsi"/>
          <w:color w:val="auto"/>
          <w:lang w:eastAsia="en-US"/>
        </w:rPr>
        <w:t>P</w:t>
      </w:r>
      <w:r w:rsidRPr="00725D0B">
        <w:rPr>
          <w:rFonts w:asciiTheme="minorHAnsi" w:hAnsiTheme="minorHAnsi" w:cstheme="minorHAnsi"/>
          <w:color w:val="auto"/>
          <w:lang w:eastAsia="en-US"/>
        </w:rPr>
        <w:t>roszę o informację czy powyższy wymóg spełnia np. podmiot, który funkcjonuje w formule prawnej jako spółka z ograniczoną odpowiedzialnością, a jednocześnie jego głównym PKD jest:</w:t>
      </w:r>
      <w:r w:rsidRPr="00725D0B">
        <w:rPr>
          <w:rFonts w:asciiTheme="minorHAnsi" w:hAnsiTheme="minorHAnsi" w:cstheme="minorHAnsi"/>
          <w:color w:val="auto"/>
          <w:lang w:eastAsia="en-US"/>
        </w:rPr>
        <w:t xml:space="preserve"> </w:t>
      </w:r>
      <w:r w:rsidRPr="00725D0B">
        <w:rPr>
          <w:rFonts w:asciiTheme="minorHAnsi" w:hAnsiTheme="minorHAnsi" w:cstheme="minorHAnsi"/>
          <w:color w:val="auto"/>
          <w:lang w:eastAsia="en-US"/>
        </w:rPr>
        <w:t>85, 59, B, POZOSTAŁE POZASZKOLNE FORMY EDUKACJI, GDZIE INDZIEJ NIESKLASYFIKOWANE</w:t>
      </w:r>
    </w:p>
    <w:p w14:paraId="6508ADB8" w14:textId="77777777" w:rsidR="00725D0B" w:rsidRPr="00725D0B" w:rsidRDefault="00725D0B" w:rsidP="00725D0B">
      <w:pPr>
        <w:pStyle w:val="Default"/>
        <w:rPr>
          <w:rFonts w:asciiTheme="minorHAnsi" w:hAnsiTheme="minorHAnsi" w:cstheme="minorHAnsi"/>
          <w:color w:val="auto"/>
          <w:lang w:eastAsia="en-US"/>
        </w:rPr>
      </w:pPr>
      <w:r w:rsidRPr="00725D0B">
        <w:rPr>
          <w:rFonts w:asciiTheme="minorHAnsi" w:hAnsiTheme="minorHAnsi" w:cstheme="minorHAnsi"/>
          <w:color w:val="auto"/>
          <w:lang w:eastAsia="en-US"/>
        </w:rPr>
        <w:t>A uzupełniające przedmioty pozostałej działalności przedsiębiorcy to:</w:t>
      </w:r>
    </w:p>
    <w:p w14:paraId="4C18A630" w14:textId="77777777" w:rsidR="00725D0B" w:rsidRPr="00725D0B" w:rsidRDefault="00725D0B" w:rsidP="00725D0B">
      <w:pPr>
        <w:pStyle w:val="Default"/>
        <w:rPr>
          <w:rFonts w:asciiTheme="minorHAnsi" w:hAnsiTheme="minorHAnsi" w:cstheme="minorHAnsi"/>
          <w:color w:val="auto"/>
          <w:lang w:eastAsia="en-US"/>
        </w:rPr>
      </w:pPr>
      <w:r w:rsidRPr="00725D0B">
        <w:rPr>
          <w:rFonts w:asciiTheme="minorHAnsi" w:hAnsiTheme="minorHAnsi" w:cstheme="minorHAnsi"/>
          <w:color w:val="auto"/>
          <w:lang w:eastAsia="en-US"/>
        </w:rPr>
        <w:t>85, 59, A, NAUKA JĘZYKÓW OBCYCH</w:t>
      </w:r>
    </w:p>
    <w:p w14:paraId="68AC5C92" w14:textId="77777777" w:rsidR="00725D0B" w:rsidRPr="00725D0B" w:rsidRDefault="00725D0B" w:rsidP="00725D0B">
      <w:pPr>
        <w:pStyle w:val="Default"/>
        <w:rPr>
          <w:rFonts w:asciiTheme="minorHAnsi" w:hAnsiTheme="minorHAnsi" w:cstheme="minorHAnsi"/>
          <w:color w:val="auto"/>
          <w:lang w:eastAsia="en-US"/>
        </w:rPr>
      </w:pPr>
      <w:r w:rsidRPr="00725D0B">
        <w:rPr>
          <w:rFonts w:asciiTheme="minorHAnsi" w:hAnsiTheme="minorHAnsi" w:cstheme="minorHAnsi"/>
          <w:color w:val="auto"/>
          <w:lang w:eastAsia="en-US"/>
        </w:rPr>
        <w:t>85, 60, Z, DZIAŁALNOŚĆ WSPOMAGAJĄCA EDUKACJĘ</w:t>
      </w:r>
    </w:p>
    <w:p w14:paraId="7D503F9E" w14:textId="6AEFBF8B" w:rsidR="00725D0B" w:rsidRPr="00725D0B" w:rsidRDefault="00725D0B" w:rsidP="00725D0B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725D0B">
        <w:rPr>
          <w:rFonts w:asciiTheme="minorHAnsi" w:hAnsiTheme="minorHAnsi" w:cstheme="minorHAnsi"/>
          <w:sz w:val="24"/>
          <w:szCs w:val="24"/>
          <w:lang w:eastAsia="en-US"/>
        </w:rPr>
        <w:t>Innymi słowy czy kryterium musi być spełnione literalnie tj. umowa spółki musi wskazywać wprost na zapisy kryterium - co jest praktycznie niemożliwe w przypadku spółek prawa handlowego czy też obszar rozwoju edukacji będzie spełniony poprzez wskazane wyżej kody PKD.</w:t>
      </w:r>
    </w:p>
    <w:p w14:paraId="0AA58DF9" w14:textId="77777777" w:rsidR="00725D0B" w:rsidRPr="00725D0B" w:rsidRDefault="00725D0B" w:rsidP="00725D0B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14:paraId="0C443E49" w14:textId="69A2D07A" w:rsidR="00725D0B" w:rsidRPr="00725D0B" w:rsidRDefault="00725D0B" w:rsidP="00725D0B">
      <w:pPr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725D0B">
        <w:rPr>
          <w:rFonts w:asciiTheme="minorHAnsi" w:hAnsiTheme="minorHAnsi" w:cstheme="minorHAnsi"/>
          <w:b/>
          <w:sz w:val="24"/>
          <w:szCs w:val="24"/>
          <w:lang w:eastAsia="en-US"/>
        </w:rPr>
        <w:t>Odpowiedź:</w:t>
      </w:r>
    </w:p>
    <w:p w14:paraId="31162C2B" w14:textId="77777777" w:rsidR="00725D0B" w:rsidRPr="00725D0B" w:rsidRDefault="00725D0B" w:rsidP="00725D0B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725D0B">
        <w:rPr>
          <w:rFonts w:asciiTheme="minorHAnsi" w:hAnsiTheme="minorHAnsi" w:cstheme="minorHAnsi"/>
          <w:sz w:val="24"/>
          <w:szCs w:val="24"/>
          <w:lang w:eastAsia="en-US"/>
        </w:rPr>
        <w:t>Wnioskodawca w treści wniosku o dofinansowanie musi wykazać, że jest instytucją/podmiotem, który zgodnie z prowadzoną statutową działalnością realizuje działania ukierunkowane na rozwój edukacji, poprawę jakości i efektywności systemu oświaty i/lub rozwój jakości metod i narzędzi edukacyjnych. Mając powyższe na względzie aby kryterium uznać za spełnione celem działania instytucji/podmiotu muszą być działania ukierunkowane na rozwój edukacji, poprawę jakości i efektywności systemu oświaty i/lub rozwój jakości metod i narzędzi edukacyjnych, których spełnienie musi wybrzmieć w treści wniosku o dofinansowanie projektu.</w:t>
      </w:r>
    </w:p>
    <w:p w14:paraId="3AA9498F" w14:textId="77777777" w:rsidR="00725D0B" w:rsidRPr="00725D0B" w:rsidRDefault="00725D0B" w:rsidP="00725D0B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725D0B">
        <w:rPr>
          <w:rFonts w:asciiTheme="minorHAnsi" w:hAnsiTheme="minorHAnsi" w:cstheme="minorHAnsi"/>
          <w:sz w:val="24"/>
          <w:szCs w:val="24"/>
          <w:lang w:eastAsia="en-US"/>
        </w:rPr>
        <w:t xml:space="preserve">O tym co jest w zakresie podstawowej działalności instytutu/podmiotu decyduje nie tylko sama klasyfikacja PKD, ale faktyczny rodzaj i zakres bieżącej działalności, która z kolei musi zostać wykazana we wniosku od dofinansowanie projektu i poparta szczegółowymi informacjami. </w:t>
      </w:r>
    </w:p>
    <w:p w14:paraId="683DE887" w14:textId="6B9FC91E" w:rsidR="0065135B" w:rsidRPr="00725D0B" w:rsidRDefault="0065135B" w:rsidP="00725D0B">
      <w:pPr>
        <w:rPr>
          <w:rFonts w:asciiTheme="minorHAnsi" w:hAnsiTheme="minorHAnsi" w:cstheme="minorHAnsi"/>
          <w:sz w:val="24"/>
          <w:szCs w:val="24"/>
        </w:rPr>
      </w:pPr>
    </w:p>
    <w:p w14:paraId="72390AD4" w14:textId="77777777" w:rsidR="00725D0B" w:rsidRPr="00725D0B" w:rsidRDefault="00725D0B" w:rsidP="00725D0B">
      <w:pPr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725D0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Pytanie 2:</w:t>
      </w:r>
    </w:p>
    <w:p w14:paraId="664FC4A2" w14:textId="6A06141F" w:rsidR="00725D0B" w:rsidRPr="00725D0B" w:rsidRDefault="00725D0B" w:rsidP="00725D0B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725D0B">
        <w:rPr>
          <w:rFonts w:asciiTheme="minorHAnsi" w:hAnsiTheme="minorHAnsi" w:cstheme="minorHAnsi"/>
          <w:sz w:val="24"/>
          <w:szCs w:val="24"/>
          <w:lang w:eastAsia="en-US"/>
        </w:rPr>
        <w:t>C</w:t>
      </w:r>
      <w:r w:rsidRPr="00725D0B">
        <w:rPr>
          <w:rFonts w:asciiTheme="minorHAnsi" w:hAnsiTheme="minorHAnsi" w:cstheme="minorHAnsi"/>
          <w:sz w:val="24"/>
          <w:szCs w:val="24"/>
          <w:lang w:eastAsia="en-US"/>
        </w:rPr>
        <w:t>zy w ramach konkursu, gmina miejska powinna być operatorem dla całego subregionu czy tylko dla obszaru miasta oraz czy w przedmiotowym naborze łączny koszt projektu musi przekraczać równowartość 200 000,00 EUR w dniu zawarcia umowy</w:t>
      </w:r>
      <w:r w:rsidRPr="00725D0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725D0B">
        <w:rPr>
          <w:rFonts w:asciiTheme="minorHAnsi" w:hAnsiTheme="minorHAnsi" w:cstheme="minorHAnsi"/>
          <w:sz w:val="24"/>
          <w:szCs w:val="24"/>
          <w:lang w:eastAsia="en-US"/>
        </w:rPr>
        <w:t>o dofinansowanie projektu a koszty bezpośrednie rozliczane są obligatoryjnie na podstawie rzeczywiście poniesionych wydatków?</w:t>
      </w:r>
    </w:p>
    <w:p w14:paraId="1D377882" w14:textId="77777777" w:rsidR="00725D0B" w:rsidRPr="00725D0B" w:rsidRDefault="00725D0B" w:rsidP="00725D0B">
      <w:pPr>
        <w:rPr>
          <w:rFonts w:asciiTheme="minorHAnsi" w:hAnsiTheme="minorHAnsi" w:cstheme="minorHAnsi"/>
          <w:sz w:val="24"/>
          <w:szCs w:val="24"/>
        </w:rPr>
      </w:pPr>
    </w:p>
    <w:p w14:paraId="0F2D6A52" w14:textId="77777777" w:rsidR="00725D0B" w:rsidRPr="00725D0B" w:rsidRDefault="00725D0B" w:rsidP="00725D0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5D0B">
        <w:rPr>
          <w:rFonts w:asciiTheme="minorHAnsi" w:hAnsiTheme="minorHAnsi" w:cstheme="minorHAnsi"/>
          <w:b/>
          <w:bCs/>
          <w:sz w:val="24"/>
          <w:szCs w:val="24"/>
        </w:rPr>
        <w:t>Odpowiedź:</w:t>
      </w:r>
    </w:p>
    <w:p w14:paraId="7416DE27" w14:textId="2E2CFE88" w:rsidR="00725D0B" w:rsidRPr="00725D0B" w:rsidRDefault="00725D0B" w:rsidP="00725D0B">
      <w:pPr>
        <w:jc w:val="both"/>
        <w:rPr>
          <w:rFonts w:asciiTheme="minorHAnsi" w:hAnsiTheme="minorHAnsi" w:cstheme="minorHAnsi"/>
          <w:sz w:val="24"/>
          <w:szCs w:val="24"/>
        </w:rPr>
      </w:pPr>
      <w:r w:rsidRPr="00725D0B">
        <w:rPr>
          <w:rFonts w:asciiTheme="minorHAnsi" w:hAnsiTheme="minorHAnsi" w:cstheme="minorHAnsi"/>
          <w:sz w:val="24"/>
          <w:szCs w:val="24"/>
        </w:rPr>
        <w:t xml:space="preserve">W odpowiedzi na pierwszą część pytania informujemy, że celem przedmiotowego naboru nie jest wyłonienie operatora. </w:t>
      </w:r>
    </w:p>
    <w:p w14:paraId="2C557096" w14:textId="77777777" w:rsidR="00725D0B" w:rsidRPr="00725D0B" w:rsidRDefault="00725D0B" w:rsidP="00725D0B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725D0B">
        <w:rPr>
          <w:rFonts w:asciiTheme="minorHAnsi" w:hAnsiTheme="minorHAnsi" w:cstheme="minorHAnsi"/>
          <w:sz w:val="24"/>
          <w:szCs w:val="24"/>
        </w:rPr>
        <w:lastRenderedPageBreak/>
        <w:t xml:space="preserve">W ramach naboru wybrane do dofinansowania zostaną trzy projekty po jednym na każdy subregion (ełcki, olsztyński i elbląski) województwa warmińsko-mazurskiego, których celem jest wdrożenie innowacji pedagogicznej w zakresie przygotowania nauczycieli do kształcenia zorientowanego na ucznia i opartego na efektach uczenia się w publicznych szkołach podstawowych </w:t>
      </w:r>
      <w:r w:rsidRPr="00725D0B">
        <w:rPr>
          <w:rFonts w:asciiTheme="minorHAnsi" w:hAnsiTheme="minorHAnsi" w:cstheme="minorHAnsi"/>
          <w:b/>
          <w:sz w:val="24"/>
          <w:szCs w:val="24"/>
        </w:rPr>
        <w:t xml:space="preserve">na podstawie autorskiego pomysłu Wnioskodawcy. </w:t>
      </w:r>
      <w:r w:rsidRPr="00725D0B">
        <w:rPr>
          <w:rFonts w:asciiTheme="minorHAnsi" w:hAnsiTheme="minorHAnsi" w:cstheme="minorHAnsi"/>
          <w:sz w:val="24"/>
          <w:szCs w:val="24"/>
        </w:rPr>
        <w:t>Zgodnie z</w:t>
      </w:r>
      <w:r w:rsidRPr="00725D0B">
        <w:rPr>
          <w:rFonts w:asciiTheme="minorHAnsi" w:hAnsiTheme="minorHAnsi" w:cstheme="minorHAnsi"/>
          <w:b/>
          <w:sz w:val="24"/>
          <w:szCs w:val="24"/>
        </w:rPr>
        <w:t xml:space="preserve"> kryterium ogólnym zerojedynkowym nr 10,  </w:t>
      </w:r>
      <w:r w:rsidRPr="00725D0B">
        <w:rPr>
          <w:rFonts w:asciiTheme="minorHAnsi" w:hAnsiTheme="minorHAnsi" w:cstheme="minorHAnsi"/>
          <w:sz w:val="24"/>
          <w:szCs w:val="24"/>
        </w:rPr>
        <w:t>Wnioskodawca</w:t>
      </w:r>
      <w:r w:rsidRPr="00725D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25D0B">
        <w:rPr>
          <w:rFonts w:asciiTheme="minorHAnsi" w:hAnsiTheme="minorHAnsi" w:cstheme="minorHAnsi"/>
          <w:sz w:val="24"/>
          <w:szCs w:val="24"/>
        </w:rPr>
        <w:t>w ramach przedmiotowego naboru ma możliwość złożenia maksymalnie po jednym wniosku oddzielnie dla wybranego subregionu województwa warmińsko-mazurskiego, tj. dla subregionu olsztyńskiego, elbląskiego oraz ełckiego.</w:t>
      </w:r>
    </w:p>
    <w:p w14:paraId="64CCEC0D" w14:textId="77777777" w:rsidR="00725D0B" w:rsidRPr="00725D0B" w:rsidRDefault="00725D0B" w:rsidP="00725D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88AC74" w14:textId="77777777" w:rsidR="00725D0B" w:rsidRPr="00725D0B" w:rsidRDefault="00725D0B" w:rsidP="00725D0B">
      <w:pPr>
        <w:jc w:val="both"/>
        <w:rPr>
          <w:rFonts w:asciiTheme="minorHAnsi" w:hAnsiTheme="minorHAnsi" w:cstheme="minorHAnsi"/>
          <w:sz w:val="24"/>
          <w:szCs w:val="24"/>
        </w:rPr>
      </w:pPr>
      <w:r w:rsidRPr="00725D0B">
        <w:rPr>
          <w:rFonts w:asciiTheme="minorHAnsi" w:hAnsiTheme="minorHAnsi" w:cstheme="minorHAnsi"/>
          <w:sz w:val="24"/>
          <w:szCs w:val="24"/>
        </w:rPr>
        <w:t xml:space="preserve">Zgodnie z zapisami Regulaminy wyboru projektów o  dofinansowanie projektu mogą ubiegać się wszystkie podmioty, które spełniają kryteria określone w ww. Regulaminie, </w:t>
      </w:r>
      <w:r w:rsidRPr="00725D0B">
        <w:rPr>
          <w:rFonts w:asciiTheme="minorHAnsi" w:hAnsiTheme="minorHAnsi" w:cstheme="minorHAnsi"/>
          <w:bCs/>
          <w:sz w:val="24"/>
          <w:szCs w:val="24"/>
        </w:rPr>
        <w:t>z wyłączeniem:</w:t>
      </w:r>
    </w:p>
    <w:p w14:paraId="2A4CB00A" w14:textId="77777777" w:rsidR="00725D0B" w:rsidRPr="00725D0B" w:rsidRDefault="00725D0B" w:rsidP="00725D0B">
      <w:pPr>
        <w:numPr>
          <w:ilvl w:val="2"/>
          <w:numId w:val="2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x-none"/>
        </w:rPr>
      </w:pPr>
      <w:r w:rsidRPr="00725D0B">
        <w:rPr>
          <w:rFonts w:asciiTheme="minorHAnsi" w:hAnsiTheme="minorHAnsi" w:cstheme="minorHAnsi"/>
          <w:sz w:val="24"/>
          <w:szCs w:val="24"/>
          <w:lang w:val="x-none"/>
        </w:rPr>
        <w:t>o</w:t>
      </w:r>
      <w:r w:rsidRPr="00725D0B">
        <w:rPr>
          <w:rFonts w:asciiTheme="minorHAnsi" w:hAnsiTheme="minorHAnsi" w:cstheme="minorHAnsi"/>
          <w:sz w:val="24"/>
          <w:szCs w:val="24"/>
        </w:rPr>
        <w:t>sób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 xml:space="preserve"> fizyczn</w:t>
      </w:r>
      <w:r w:rsidRPr="00725D0B">
        <w:rPr>
          <w:rFonts w:asciiTheme="minorHAnsi" w:hAnsiTheme="minorHAnsi" w:cstheme="minorHAnsi"/>
          <w:sz w:val="24"/>
          <w:szCs w:val="24"/>
        </w:rPr>
        <w:t>ych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 xml:space="preserve"> nieprowadząc</w:t>
      </w:r>
      <w:r w:rsidRPr="00725D0B">
        <w:rPr>
          <w:rFonts w:asciiTheme="minorHAnsi" w:hAnsiTheme="minorHAnsi" w:cstheme="minorHAnsi"/>
          <w:sz w:val="24"/>
          <w:szCs w:val="24"/>
        </w:rPr>
        <w:t>ych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 xml:space="preserve"> działalności gospodarczej</w:t>
      </w:r>
      <w:r w:rsidRPr="00725D0B">
        <w:rPr>
          <w:rFonts w:asciiTheme="minorHAnsi" w:hAnsiTheme="minorHAnsi" w:cstheme="minorHAnsi"/>
          <w:sz w:val="24"/>
          <w:szCs w:val="24"/>
        </w:rPr>
        <w:t xml:space="preserve"> lub oświatowej na podstawie przepisów odrębnych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;</w:t>
      </w:r>
    </w:p>
    <w:p w14:paraId="5B0A3790" w14:textId="77777777" w:rsidR="00725D0B" w:rsidRPr="00725D0B" w:rsidRDefault="00725D0B" w:rsidP="00725D0B">
      <w:pPr>
        <w:numPr>
          <w:ilvl w:val="2"/>
          <w:numId w:val="2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x-none"/>
        </w:rPr>
      </w:pPr>
      <w:r w:rsidRPr="00725D0B">
        <w:rPr>
          <w:rFonts w:asciiTheme="minorHAnsi" w:hAnsiTheme="minorHAnsi" w:cstheme="minorHAnsi"/>
          <w:sz w:val="24"/>
          <w:szCs w:val="24"/>
          <w:lang w:val="x-none"/>
        </w:rPr>
        <w:t>podmiot</w:t>
      </w:r>
      <w:r w:rsidRPr="00725D0B">
        <w:rPr>
          <w:rFonts w:asciiTheme="minorHAnsi" w:hAnsiTheme="minorHAnsi" w:cstheme="minorHAnsi"/>
          <w:sz w:val="24"/>
          <w:szCs w:val="24"/>
        </w:rPr>
        <w:t xml:space="preserve">ów wykluczonych z możliwości otrzymania środków na podstawie przepisów 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ustawy z dnia 27 sierpnia 2009 r. o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finansach publicznych</w:t>
      </w:r>
      <w:r w:rsidRPr="00725D0B">
        <w:rPr>
          <w:rFonts w:asciiTheme="minorHAnsi" w:hAnsiTheme="minorHAnsi" w:cstheme="minorHAnsi"/>
          <w:sz w:val="24"/>
          <w:szCs w:val="24"/>
        </w:rPr>
        <w:t>;</w:t>
      </w:r>
    </w:p>
    <w:p w14:paraId="3202778A" w14:textId="77777777" w:rsidR="00725D0B" w:rsidRPr="00725D0B" w:rsidRDefault="00725D0B" w:rsidP="00725D0B">
      <w:pPr>
        <w:numPr>
          <w:ilvl w:val="2"/>
          <w:numId w:val="2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x-none"/>
        </w:rPr>
      </w:pPr>
      <w:r w:rsidRPr="00725D0B">
        <w:rPr>
          <w:rFonts w:asciiTheme="minorHAnsi" w:hAnsiTheme="minorHAnsi" w:cstheme="minorHAnsi"/>
          <w:sz w:val="24"/>
          <w:szCs w:val="24"/>
          <w:lang w:val="x-none"/>
        </w:rPr>
        <w:t>podmio</w:t>
      </w:r>
      <w:r w:rsidRPr="00725D0B">
        <w:rPr>
          <w:rFonts w:asciiTheme="minorHAnsi" w:hAnsiTheme="minorHAnsi" w:cstheme="minorHAnsi"/>
          <w:sz w:val="24"/>
          <w:szCs w:val="24"/>
        </w:rPr>
        <w:t>tów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, o których mowa w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art. 12 ust. 1 pkt. 1 ustawy z dnia 15 czerwca 2012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r. o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skutkach powierzania wykonywania pracy cudzoziemcom przebywającym wbrew przepisom na terytorium Rzeczypospolitej Polskiej (podmioty skazane za przestępstwo polegające na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powierzaniu pracy cudzoziemcom przebywającym bez ważnego dokumentu, uprawniającego do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pobytu na terytorium RP, w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stosunku do których sąd orzekł zakaz dostępu do środków funduszowych);</w:t>
      </w:r>
    </w:p>
    <w:p w14:paraId="23B0B603" w14:textId="77777777" w:rsidR="00725D0B" w:rsidRPr="00725D0B" w:rsidRDefault="00725D0B" w:rsidP="00725D0B">
      <w:pPr>
        <w:numPr>
          <w:ilvl w:val="2"/>
          <w:numId w:val="2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x-none"/>
        </w:rPr>
      </w:pPr>
      <w:r w:rsidRPr="00725D0B">
        <w:rPr>
          <w:rFonts w:asciiTheme="minorHAnsi" w:hAnsiTheme="minorHAnsi" w:cstheme="minorHAnsi"/>
          <w:sz w:val="24"/>
          <w:szCs w:val="24"/>
          <w:lang w:val="x-none"/>
        </w:rPr>
        <w:t>podmiot</w:t>
      </w:r>
      <w:r w:rsidRPr="00725D0B">
        <w:rPr>
          <w:rFonts w:asciiTheme="minorHAnsi" w:hAnsiTheme="minorHAnsi" w:cstheme="minorHAnsi"/>
          <w:sz w:val="24"/>
          <w:szCs w:val="24"/>
        </w:rPr>
        <w:t>ów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, o których mowa w art. 9 ust. 1 pkt. 2a ustawy z dnia 28 października 2002 r. o odpowiedzialności podmiotów zbiorowych za czyny zabronione pod groźbą kary</w:t>
      </w:r>
      <w:r w:rsidRPr="00725D0B">
        <w:rPr>
          <w:rFonts w:asciiTheme="minorHAnsi" w:hAnsiTheme="minorHAnsi" w:cstheme="minorHAnsi"/>
          <w:sz w:val="24"/>
          <w:szCs w:val="24"/>
        </w:rPr>
        <w:t xml:space="preserve"> 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(podmioty zbiorowe skazane za przestępstwo polegające na powierzaniu pracy cudzoziemcom przebywającym bez ważnego dokumentu, uprawniającego do pobytu na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terytorium RP)</w:t>
      </w:r>
      <w:r w:rsidRPr="00725D0B">
        <w:rPr>
          <w:rFonts w:asciiTheme="minorHAnsi" w:hAnsiTheme="minorHAnsi" w:cstheme="minorHAnsi"/>
          <w:sz w:val="24"/>
          <w:szCs w:val="24"/>
        </w:rPr>
        <w:t>;</w:t>
      </w:r>
    </w:p>
    <w:p w14:paraId="4D435280" w14:textId="77777777" w:rsidR="00725D0B" w:rsidRPr="00725D0B" w:rsidRDefault="00725D0B" w:rsidP="00725D0B">
      <w:pPr>
        <w:numPr>
          <w:ilvl w:val="2"/>
          <w:numId w:val="2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x-none"/>
        </w:rPr>
      </w:pPr>
      <w:r w:rsidRPr="00725D0B">
        <w:rPr>
          <w:rFonts w:asciiTheme="minorHAnsi" w:hAnsiTheme="minorHAnsi" w:cstheme="minorHAnsi"/>
          <w:sz w:val="24"/>
          <w:szCs w:val="24"/>
          <w:lang w:val="x-none"/>
        </w:rPr>
        <w:t>podmiot</w:t>
      </w:r>
      <w:r w:rsidRPr="00725D0B">
        <w:rPr>
          <w:rFonts w:asciiTheme="minorHAnsi" w:hAnsiTheme="minorHAnsi" w:cstheme="minorHAnsi"/>
          <w:sz w:val="24"/>
          <w:szCs w:val="24"/>
        </w:rPr>
        <w:t>ów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, co do których ogłoszono upadłość, znajdujących się w stanie likwidacji lub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zalegających z uiszczeniem podatków, jak również z opłaceniem składek na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ubezpieczenie społeczne i zdrowotne lub innych należności wymaganych odrębnymi przepisami</w:t>
      </w:r>
      <w:r w:rsidRPr="00725D0B">
        <w:rPr>
          <w:rFonts w:asciiTheme="minorHAnsi" w:hAnsiTheme="minorHAnsi" w:cstheme="minorHAnsi"/>
          <w:sz w:val="24"/>
          <w:szCs w:val="24"/>
        </w:rPr>
        <w:t>;</w:t>
      </w:r>
    </w:p>
    <w:p w14:paraId="2AC0E84B" w14:textId="77777777" w:rsidR="00725D0B" w:rsidRPr="00725D0B" w:rsidRDefault="00725D0B" w:rsidP="00725D0B">
      <w:pPr>
        <w:numPr>
          <w:ilvl w:val="2"/>
          <w:numId w:val="2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x-none"/>
        </w:rPr>
      </w:pPr>
      <w:r w:rsidRPr="00725D0B">
        <w:rPr>
          <w:rFonts w:asciiTheme="minorHAnsi" w:hAnsiTheme="minorHAnsi" w:cstheme="minorHAnsi"/>
          <w:sz w:val="24"/>
          <w:szCs w:val="24"/>
          <w:lang w:val="x-none"/>
        </w:rPr>
        <w:t>podmiot</w:t>
      </w:r>
      <w:r w:rsidRPr="00725D0B">
        <w:rPr>
          <w:rFonts w:asciiTheme="minorHAnsi" w:hAnsiTheme="minorHAnsi" w:cstheme="minorHAnsi"/>
          <w:sz w:val="24"/>
          <w:szCs w:val="24"/>
        </w:rPr>
        <w:t>ów, o których mowa w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 xml:space="preserve"> art. 3 ust. 2 ustawy z dnia 13 kwietnia 2022 r. o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szczególnych rozwiązaniach w zakresie przeciwdziałania wspieraniu agresji na Ukrainę oraz służących ochronie bezpieczeństwa narodowego</w:t>
      </w:r>
      <w:r w:rsidRPr="00725D0B">
        <w:rPr>
          <w:rFonts w:asciiTheme="minorHAnsi" w:hAnsiTheme="minorHAnsi" w:cstheme="minorHAnsi"/>
          <w:sz w:val="24"/>
          <w:szCs w:val="24"/>
        </w:rPr>
        <w:t>, znajdujących się na Liście osób i podmiotów objętych sankcjami prowadzonej przez Ministerstwo Spraw Wewnętrznych i Administracji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;</w:t>
      </w:r>
    </w:p>
    <w:p w14:paraId="459C5F63" w14:textId="77777777" w:rsidR="00725D0B" w:rsidRPr="00725D0B" w:rsidRDefault="00725D0B" w:rsidP="00725D0B">
      <w:pPr>
        <w:numPr>
          <w:ilvl w:val="2"/>
          <w:numId w:val="2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x-none"/>
        </w:rPr>
      </w:pPr>
      <w:r w:rsidRPr="00725D0B">
        <w:rPr>
          <w:rFonts w:asciiTheme="minorHAnsi" w:hAnsiTheme="minorHAnsi" w:cstheme="minorHAnsi"/>
          <w:sz w:val="24"/>
          <w:szCs w:val="24"/>
          <w:lang w:val="x-none"/>
        </w:rPr>
        <w:t>podmio</w:t>
      </w:r>
      <w:r w:rsidRPr="00725D0B">
        <w:rPr>
          <w:rFonts w:asciiTheme="minorHAnsi" w:hAnsiTheme="minorHAnsi" w:cstheme="minorHAnsi"/>
          <w:sz w:val="24"/>
          <w:szCs w:val="24"/>
        </w:rPr>
        <w:t>tów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, o kt</w:t>
      </w:r>
      <w:r w:rsidRPr="00725D0B">
        <w:rPr>
          <w:rFonts w:asciiTheme="minorHAnsi" w:hAnsiTheme="minorHAnsi" w:cstheme="minorHAnsi"/>
          <w:sz w:val="24"/>
          <w:szCs w:val="24"/>
        </w:rPr>
        <w:t xml:space="preserve">órych mowa w art. 2 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Rozporządzenia Rady (WE) nr 765/2006 z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dnia 18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maja 2006 r. dotyczącego środków ograniczających w związku z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sytuacją na Białorusi i</w:t>
      </w:r>
      <w:r w:rsidRPr="00725D0B">
        <w:rPr>
          <w:rFonts w:asciiTheme="minorHAnsi" w:hAnsiTheme="minorHAnsi" w:cstheme="minorHAnsi"/>
          <w:sz w:val="24"/>
          <w:szCs w:val="24"/>
        </w:rPr>
        <w:t xml:space="preserve"> 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 xml:space="preserve">udziałem Białorusi w agresji Rosji wobec Ukrainy, </w:t>
      </w:r>
      <w:r w:rsidRPr="00725D0B">
        <w:rPr>
          <w:rFonts w:asciiTheme="minorHAnsi" w:hAnsiTheme="minorHAnsi" w:cstheme="minorHAnsi"/>
          <w:sz w:val="24"/>
          <w:szCs w:val="24"/>
        </w:rPr>
        <w:t>wymienionych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 xml:space="preserve"> w wykazie stanowiącym załącznik </w:t>
      </w:r>
      <w:r w:rsidRPr="00725D0B">
        <w:rPr>
          <w:rFonts w:asciiTheme="minorHAnsi" w:hAnsiTheme="minorHAnsi" w:cstheme="minorHAnsi"/>
          <w:sz w:val="24"/>
          <w:szCs w:val="24"/>
        </w:rPr>
        <w:t xml:space="preserve">nr 1 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do</w:t>
      </w:r>
      <w:r w:rsidRPr="00725D0B">
        <w:rPr>
          <w:rFonts w:asciiTheme="minorHAnsi" w:hAnsiTheme="minorHAnsi" w:cstheme="minorHAnsi"/>
          <w:sz w:val="24"/>
          <w:szCs w:val="24"/>
        </w:rPr>
        <w:t xml:space="preserve"> przedmiotowego Rozporządzenia;</w:t>
      </w:r>
    </w:p>
    <w:p w14:paraId="1B042026" w14:textId="77777777" w:rsidR="00725D0B" w:rsidRPr="00725D0B" w:rsidRDefault="00725D0B" w:rsidP="00725D0B">
      <w:pPr>
        <w:numPr>
          <w:ilvl w:val="2"/>
          <w:numId w:val="2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x-none"/>
        </w:rPr>
      </w:pPr>
      <w:r w:rsidRPr="00725D0B">
        <w:rPr>
          <w:rFonts w:asciiTheme="minorHAnsi" w:hAnsiTheme="minorHAnsi" w:cstheme="minorHAnsi"/>
          <w:sz w:val="24"/>
          <w:szCs w:val="24"/>
          <w:lang w:val="x-none"/>
        </w:rPr>
        <w:t>podmiot</w:t>
      </w:r>
      <w:r w:rsidRPr="00725D0B">
        <w:rPr>
          <w:rFonts w:asciiTheme="minorHAnsi" w:hAnsiTheme="minorHAnsi" w:cstheme="minorHAnsi"/>
          <w:sz w:val="24"/>
          <w:szCs w:val="24"/>
        </w:rPr>
        <w:t>ów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, o których mowa w art. 3 Rozporządzenia Rady (UE) nr 269/2014 z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dnia 17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marca 2014 r. w sprawie środków ograniczających w odniesieniu do działań podważających integralność terytorialną, suwerenność i niezależność Ukrainy lub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im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zagrażających, wymienionych w wykazie stanowiącym załącznik</w:t>
      </w:r>
      <w:r w:rsidRPr="00725D0B">
        <w:rPr>
          <w:rFonts w:asciiTheme="minorHAnsi" w:hAnsiTheme="minorHAnsi" w:cstheme="minorHAnsi"/>
          <w:sz w:val="24"/>
          <w:szCs w:val="24"/>
        </w:rPr>
        <w:t xml:space="preserve"> 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nr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1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do</w:t>
      </w:r>
      <w:r w:rsidRPr="00725D0B">
        <w:rPr>
          <w:rFonts w:asciiTheme="minorHAnsi" w:hAnsiTheme="minorHAnsi" w:cstheme="minorHAnsi"/>
          <w:sz w:val="24"/>
          <w:szCs w:val="24"/>
        </w:rPr>
        <w:t> 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przedmiotowego Rozporządzenia;</w:t>
      </w:r>
    </w:p>
    <w:p w14:paraId="08521AB7" w14:textId="77777777" w:rsidR="00725D0B" w:rsidRPr="00725D0B" w:rsidRDefault="00725D0B" w:rsidP="00725D0B">
      <w:pPr>
        <w:numPr>
          <w:ilvl w:val="2"/>
          <w:numId w:val="2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x-none"/>
        </w:rPr>
      </w:pPr>
      <w:r w:rsidRPr="00725D0B">
        <w:rPr>
          <w:rFonts w:asciiTheme="minorHAnsi" w:hAnsiTheme="minorHAnsi" w:cstheme="minorHAnsi"/>
          <w:sz w:val="24"/>
          <w:szCs w:val="24"/>
        </w:rPr>
        <w:lastRenderedPageBreak/>
        <w:t xml:space="preserve">podmiotów, o których mowa w art. 5 </w:t>
      </w:r>
      <w:r w:rsidRPr="00725D0B">
        <w:rPr>
          <w:rFonts w:asciiTheme="minorHAnsi" w:hAnsiTheme="minorHAnsi" w:cstheme="minorHAnsi"/>
          <w:sz w:val="24"/>
          <w:szCs w:val="24"/>
          <w:lang w:val="x-none"/>
        </w:rPr>
        <w:t>Rozporządzenia Rady UE (UE) NR 833/2014 z dnia 31 lipca 2014 r. dotyczącego środków ograniczających w związku z działaniami Rosji destabilizującymi sytuację na Ukrainie, wymienionych w wykazie stanowiącym załącznik nr 3 do przedmiotowego Rozporządzenia</w:t>
      </w:r>
      <w:r w:rsidRPr="00725D0B">
        <w:rPr>
          <w:rFonts w:asciiTheme="minorHAnsi" w:hAnsiTheme="minorHAnsi" w:cstheme="minorHAnsi"/>
          <w:sz w:val="24"/>
          <w:szCs w:val="24"/>
        </w:rPr>
        <w:t>.</w:t>
      </w:r>
    </w:p>
    <w:p w14:paraId="50D787D7" w14:textId="77777777" w:rsidR="00725D0B" w:rsidRPr="00725D0B" w:rsidRDefault="00725D0B" w:rsidP="00725D0B">
      <w:pPr>
        <w:spacing w:before="100" w:beforeAutospacing="1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25D0B">
        <w:rPr>
          <w:rFonts w:asciiTheme="minorHAnsi" w:hAnsiTheme="minorHAnsi" w:cstheme="minorHAnsi"/>
          <w:b/>
          <w:iCs/>
          <w:sz w:val="24"/>
          <w:szCs w:val="24"/>
        </w:rPr>
        <w:t xml:space="preserve">Ponadto, zgodnie z zapisami ww. Regulaminu, </w:t>
      </w:r>
      <w:r w:rsidRPr="00725D0B">
        <w:rPr>
          <w:rFonts w:asciiTheme="minorHAnsi" w:hAnsiTheme="minorHAnsi" w:cstheme="minorHAnsi"/>
          <w:sz w:val="24"/>
          <w:szCs w:val="24"/>
        </w:rPr>
        <w:t xml:space="preserve">Wnioskodawcą może być instytucja/ podmiot, który zgodnie z prowadzoną statutową działalnością realizuje działania ukierunkowane na rozwój edukacji, poprawę jakości i efektywności systemu oświaty i/lub rozwój metod </w:t>
      </w:r>
      <w:r w:rsidRPr="00725D0B">
        <w:rPr>
          <w:rFonts w:asciiTheme="minorHAnsi" w:hAnsiTheme="minorHAnsi" w:cstheme="minorHAnsi"/>
          <w:sz w:val="24"/>
          <w:szCs w:val="24"/>
        </w:rPr>
        <w:br/>
        <w:t xml:space="preserve">i narzędzi edukacyjnych, zgodnie z </w:t>
      </w:r>
      <w:r w:rsidRPr="00725D0B">
        <w:rPr>
          <w:rFonts w:asciiTheme="minorHAnsi" w:hAnsiTheme="minorHAnsi" w:cstheme="minorHAnsi"/>
          <w:b/>
          <w:iCs/>
          <w:sz w:val="24"/>
          <w:szCs w:val="24"/>
        </w:rPr>
        <w:t>kryterium specyficznym dostępu nr 1</w:t>
      </w:r>
      <w:r w:rsidRPr="00725D0B">
        <w:rPr>
          <w:rFonts w:asciiTheme="minorHAnsi" w:hAnsiTheme="minorHAnsi" w:cstheme="minorHAnsi"/>
          <w:sz w:val="24"/>
          <w:szCs w:val="24"/>
        </w:rPr>
        <w:t>.</w:t>
      </w:r>
    </w:p>
    <w:p w14:paraId="77832722" w14:textId="77777777" w:rsidR="00725D0B" w:rsidRPr="00725D0B" w:rsidRDefault="00725D0B" w:rsidP="00725D0B">
      <w:pPr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725D0B">
        <w:rPr>
          <w:rFonts w:asciiTheme="minorHAnsi" w:hAnsiTheme="minorHAnsi" w:cstheme="minorHAnsi"/>
          <w:sz w:val="24"/>
          <w:szCs w:val="24"/>
        </w:rPr>
        <w:t>Przez działalność statutową rozumie się działalność określoną w statucie, umowie spółki lub innym dokumencie określającym działalność instytucji/podmiotu.</w:t>
      </w:r>
    </w:p>
    <w:p w14:paraId="7D812FFF" w14:textId="77777777" w:rsidR="00725D0B" w:rsidRPr="00725D0B" w:rsidRDefault="00725D0B" w:rsidP="00725D0B">
      <w:pPr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725D0B">
        <w:rPr>
          <w:rFonts w:asciiTheme="minorHAnsi" w:hAnsiTheme="minorHAnsi" w:cstheme="minorHAnsi"/>
          <w:sz w:val="24"/>
          <w:szCs w:val="24"/>
        </w:rPr>
        <w:t xml:space="preserve">Wnioskodawca musi posiadać doświadczenie w realizacji projektów lub programów dotyczących doskonalenia kompetencji zawodowych kadry szkół i placówek systemu oświaty oraz wdrożeniu nowoczesnych metod uczenia się uczniów w obszarze kształcenia ogólnego, zgodnie z </w:t>
      </w:r>
      <w:r w:rsidRPr="00725D0B">
        <w:rPr>
          <w:rFonts w:asciiTheme="minorHAnsi" w:hAnsiTheme="minorHAnsi" w:cstheme="minorHAnsi"/>
          <w:b/>
          <w:iCs/>
          <w:sz w:val="24"/>
          <w:szCs w:val="24"/>
        </w:rPr>
        <w:t>kryterium specyficznym dostępu nr 2</w:t>
      </w:r>
      <w:r w:rsidRPr="00725D0B">
        <w:rPr>
          <w:rFonts w:asciiTheme="minorHAnsi" w:hAnsiTheme="minorHAnsi" w:cstheme="minorHAnsi"/>
          <w:sz w:val="24"/>
          <w:szCs w:val="24"/>
        </w:rPr>
        <w:t>.</w:t>
      </w:r>
    </w:p>
    <w:p w14:paraId="601B3229" w14:textId="77777777" w:rsidR="00725D0B" w:rsidRPr="00725D0B" w:rsidRDefault="00725D0B" w:rsidP="00725D0B">
      <w:pPr>
        <w:spacing w:after="100" w:afterAutospacing="1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25D0B">
        <w:rPr>
          <w:rFonts w:asciiTheme="minorHAnsi" w:eastAsia="Calibri" w:hAnsiTheme="minorHAnsi" w:cstheme="minorHAnsi"/>
          <w:sz w:val="24"/>
          <w:szCs w:val="24"/>
        </w:rPr>
        <w:t xml:space="preserve">Wnioskodawca łącznie z partnerem/ partnerami (o ile dotyczy) musi dysponować zespołem osób, które łącznie posiadają wiedzę i doświadczenie niezbędne do realizacji projektu, zgodnie z </w:t>
      </w:r>
      <w:r w:rsidRPr="00725D0B">
        <w:rPr>
          <w:rFonts w:asciiTheme="minorHAnsi" w:hAnsiTheme="minorHAnsi" w:cstheme="minorHAnsi"/>
          <w:b/>
          <w:iCs/>
          <w:sz w:val="24"/>
          <w:szCs w:val="24"/>
        </w:rPr>
        <w:t>kryterium specyficznym dostępu nr 3</w:t>
      </w:r>
      <w:r w:rsidRPr="00725D0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E6037B9" w14:textId="77777777" w:rsidR="00725D0B" w:rsidRPr="00725D0B" w:rsidRDefault="00725D0B" w:rsidP="00725D0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25D0B">
        <w:rPr>
          <w:rFonts w:asciiTheme="minorHAnsi" w:hAnsiTheme="minorHAnsi" w:cstheme="minorHAnsi"/>
          <w:sz w:val="24"/>
          <w:szCs w:val="24"/>
        </w:rPr>
        <w:t xml:space="preserve">W odpowiedzi na drugą część pytania informujemy, że przedmiotowy nabór dotyczy wyłącznie projektów, w których łączny koszt projektu, zgodnie z </w:t>
      </w:r>
      <w:r w:rsidRPr="00725D0B">
        <w:rPr>
          <w:rFonts w:asciiTheme="minorHAnsi" w:hAnsiTheme="minorHAnsi" w:cstheme="minorHAnsi"/>
          <w:b/>
          <w:iCs/>
          <w:sz w:val="24"/>
          <w:szCs w:val="24"/>
        </w:rPr>
        <w:t>kryterium ogólnym zerojedynkowym nr 11</w:t>
      </w:r>
      <w:r w:rsidRPr="00725D0B">
        <w:rPr>
          <w:rFonts w:asciiTheme="minorHAnsi" w:hAnsiTheme="minorHAnsi" w:cstheme="minorHAnsi"/>
          <w:sz w:val="24"/>
          <w:szCs w:val="24"/>
        </w:rPr>
        <w:t xml:space="preserve"> przekracza równowartość 200 000,00 EUR, w związku z czym została określona minimalna wartość projektu (łączny koszt projektu), </w:t>
      </w:r>
      <w:r w:rsidRPr="00725D0B">
        <w:rPr>
          <w:rFonts w:asciiTheme="minorHAnsi" w:hAnsiTheme="minorHAnsi" w:cstheme="minorHAnsi"/>
          <w:sz w:val="24"/>
          <w:szCs w:val="24"/>
          <w:u w:val="single"/>
        </w:rPr>
        <w:t xml:space="preserve">która musi przekraczać </w:t>
      </w:r>
      <w:r w:rsidRPr="00725D0B">
        <w:rPr>
          <w:rFonts w:asciiTheme="minorHAnsi" w:hAnsiTheme="minorHAnsi" w:cstheme="minorHAnsi"/>
          <w:sz w:val="24"/>
          <w:szCs w:val="24"/>
        </w:rPr>
        <w:t xml:space="preserve">867 100,00 PLN. </w:t>
      </w:r>
    </w:p>
    <w:p w14:paraId="1C466C1B" w14:textId="77777777" w:rsidR="00725D0B" w:rsidRPr="00725D0B" w:rsidRDefault="00725D0B" w:rsidP="00725D0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25D0B">
        <w:rPr>
          <w:rFonts w:asciiTheme="minorHAnsi" w:hAnsiTheme="minorHAnsi" w:cstheme="minorHAnsi"/>
          <w:sz w:val="24"/>
          <w:szCs w:val="24"/>
        </w:rPr>
        <w:t xml:space="preserve">Natomiast maksymalna wartość dofinansowania projektów w podziale na poszczególne subregiony została oszacowana na podstawie algorytmu, biorąc pod uwagę liczbę szkół podstawowych znajdujących się na terenie województwa warmińsko-mazurskiego oraz liczbę nauczycieli w danym subregionie, zgodnie z </w:t>
      </w:r>
      <w:r w:rsidRPr="00725D0B">
        <w:rPr>
          <w:rFonts w:asciiTheme="minorHAnsi" w:hAnsiTheme="minorHAnsi" w:cstheme="minorHAnsi"/>
          <w:b/>
          <w:iCs/>
          <w:sz w:val="24"/>
          <w:szCs w:val="24"/>
        </w:rPr>
        <w:t>kryterium specyficznym nr 16, 17 i 18</w:t>
      </w:r>
      <w:r w:rsidRPr="00725D0B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0A0" w:firstRow="1" w:lastRow="0" w:firstColumn="1" w:lastColumn="0" w:noHBand="0" w:noVBand="0"/>
      </w:tblPr>
      <w:tblGrid>
        <w:gridCol w:w="4965"/>
        <w:gridCol w:w="4077"/>
      </w:tblGrid>
      <w:tr w:rsidR="00725D0B" w:rsidRPr="00725D0B" w14:paraId="34738FD4" w14:textId="77777777" w:rsidTr="002F3AC5">
        <w:tc>
          <w:tcPr>
            <w:tcW w:w="9042" w:type="dxa"/>
            <w:gridSpan w:val="2"/>
          </w:tcPr>
          <w:p w14:paraId="54AE0E9D" w14:textId="77777777" w:rsidR="00725D0B" w:rsidRPr="00725D0B" w:rsidRDefault="00725D0B" w:rsidP="00725D0B">
            <w:pPr>
              <w:spacing w:before="100" w:beforeAutospacing="1" w:after="100" w:afterAutospacing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25D0B">
              <w:rPr>
                <w:rFonts w:asciiTheme="minorHAnsi" w:hAnsiTheme="minorHAnsi" w:cstheme="minorHAnsi"/>
                <w:b/>
                <w:sz w:val="24"/>
                <w:szCs w:val="24"/>
              </w:rPr>
              <w:t>Maksymalna wartość</w:t>
            </w:r>
            <w:r w:rsidRPr="00725D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25D0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przeznaczona na dofinansowanie projektów w naborze w podziale na subregiony:</w:t>
            </w:r>
          </w:p>
        </w:tc>
      </w:tr>
      <w:tr w:rsidR="00725D0B" w:rsidRPr="00725D0B" w14:paraId="5631E17F" w14:textId="77777777" w:rsidTr="002F3AC5">
        <w:tc>
          <w:tcPr>
            <w:tcW w:w="4965" w:type="dxa"/>
            <w:vAlign w:val="center"/>
          </w:tcPr>
          <w:p w14:paraId="506175FB" w14:textId="77777777" w:rsidR="00725D0B" w:rsidRPr="00725D0B" w:rsidRDefault="00725D0B" w:rsidP="00725D0B">
            <w:pPr>
              <w:spacing w:before="100" w:beforeAutospacing="1" w:after="100" w:afterAutospacing="1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725D0B">
              <w:rPr>
                <w:rFonts w:asciiTheme="minorHAnsi" w:hAnsiTheme="minorHAnsi" w:cstheme="minorHAnsi"/>
                <w:b/>
                <w:sz w:val="24"/>
                <w:szCs w:val="24"/>
              </w:rPr>
              <w:t>subregion elbląski</w:t>
            </w:r>
          </w:p>
        </w:tc>
        <w:tc>
          <w:tcPr>
            <w:tcW w:w="4077" w:type="dxa"/>
          </w:tcPr>
          <w:p w14:paraId="45F80057" w14:textId="77777777" w:rsidR="00725D0B" w:rsidRPr="00725D0B" w:rsidRDefault="00725D0B" w:rsidP="00725D0B">
            <w:pPr>
              <w:spacing w:before="100" w:beforeAutospacing="1" w:after="100" w:afterAutospacing="1"/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25D0B">
              <w:rPr>
                <w:rFonts w:asciiTheme="minorHAnsi" w:hAnsiTheme="minorHAnsi" w:cstheme="minorHAnsi"/>
                <w:sz w:val="24"/>
                <w:szCs w:val="24"/>
              </w:rPr>
              <w:t>16 643 784,00 PLN</w:t>
            </w:r>
          </w:p>
        </w:tc>
      </w:tr>
      <w:tr w:rsidR="00725D0B" w:rsidRPr="00725D0B" w14:paraId="780D978D" w14:textId="77777777" w:rsidTr="002F3AC5">
        <w:trPr>
          <w:trHeight w:val="248"/>
        </w:trPr>
        <w:tc>
          <w:tcPr>
            <w:tcW w:w="4965" w:type="dxa"/>
            <w:vAlign w:val="center"/>
          </w:tcPr>
          <w:p w14:paraId="52A4A173" w14:textId="77777777" w:rsidR="00725D0B" w:rsidRPr="00725D0B" w:rsidRDefault="00725D0B" w:rsidP="00725D0B">
            <w:pPr>
              <w:spacing w:before="100" w:beforeAutospacing="1" w:after="100" w:afterAutospacing="1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725D0B">
              <w:rPr>
                <w:rFonts w:asciiTheme="minorHAnsi" w:hAnsiTheme="minorHAnsi" w:cstheme="minorHAnsi"/>
                <w:b/>
                <w:sz w:val="24"/>
                <w:szCs w:val="24"/>
              </w:rPr>
              <w:t>subregion ełcki</w:t>
            </w:r>
          </w:p>
        </w:tc>
        <w:tc>
          <w:tcPr>
            <w:tcW w:w="4077" w:type="dxa"/>
          </w:tcPr>
          <w:p w14:paraId="10D28A3A" w14:textId="77777777" w:rsidR="00725D0B" w:rsidRPr="00725D0B" w:rsidRDefault="00725D0B" w:rsidP="00725D0B">
            <w:pPr>
              <w:spacing w:before="100" w:beforeAutospacing="1" w:after="100" w:afterAutospacing="1"/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25D0B">
              <w:rPr>
                <w:rFonts w:asciiTheme="minorHAnsi" w:hAnsiTheme="minorHAnsi" w:cstheme="minorHAnsi"/>
                <w:sz w:val="24"/>
                <w:szCs w:val="24"/>
              </w:rPr>
              <w:t>8 996 640,00 PLN</w:t>
            </w:r>
          </w:p>
        </w:tc>
      </w:tr>
      <w:tr w:rsidR="00725D0B" w:rsidRPr="00725D0B" w14:paraId="21A03A3C" w14:textId="77777777" w:rsidTr="002F3AC5">
        <w:tc>
          <w:tcPr>
            <w:tcW w:w="4965" w:type="dxa"/>
            <w:vAlign w:val="center"/>
          </w:tcPr>
          <w:p w14:paraId="3C7BFD2D" w14:textId="77777777" w:rsidR="00725D0B" w:rsidRPr="00725D0B" w:rsidRDefault="00725D0B" w:rsidP="00725D0B">
            <w:pPr>
              <w:spacing w:before="100" w:beforeAutospacing="1" w:after="100" w:afterAutospacing="1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725D0B">
              <w:rPr>
                <w:rFonts w:asciiTheme="minorHAnsi" w:hAnsiTheme="minorHAnsi" w:cstheme="minorHAnsi"/>
                <w:b/>
                <w:sz w:val="24"/>
                <w:szCs w:val="24"/>
              </w:rPr>
              <w:t>subregion olsztyński</w:t>
            </w:r>
          </w:p>
        </w:tc>
        <w:tc>
          <w:tcPr>
            <w:tcW w:w="4077" w:type="dxa"/>
          </w:tcPr>
          <w:p w14:paraId="7BAC720C" w14:textId="77777777" w:rsidR="00725D0B" w:rsidRPr="00725D0B" w:rsidRDefault="00725D0B" w:rsidP="00725D0B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5D0B">
              <w:rPr>
                <w:rFonts w:asciiTheme="minorHAnsi" w:hAnsiTheme="minorHAnsi" w:cstheme="minorHAnsi"/>
                <w:sz w:val="24"/>
                <w:szCs w:val="24"/>
              </w:rPr>
              <w:t>19 342 776,00 PLN</w:t>
            </w:r>
          </w:p>
        </w:tc>
      </w:tr>
    </w:tbl>
    <w:p w14:paraId="25D1F895" w14:textId="77777777" w:rsidR="00725D0B" w:rsidRPr="00725D0B" w:rsidRDefault="00725D0B" w:rsidP="00725D0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25D0B">
        <w:rPr>
          <w:rFonts w:asciiTheme="minorHAnsi" w:hAnsiTheme="minorHAnsi" w:cstheme="minorHAnsi"/>
          <w:sz w:val="24"/>
          <w:szCs w:val="24"/>
        </w:rPr>
        <w:t xml:space="preserve">Zatem w danym naborze koszty bezpośrednie rozliczane będą  obligatoryjnie na podstawie rzeczywiście poniesionych wydatków. </w:t>
      </w:r>
    </w:p>
    <w:p w14:paraId="033A265A" w14:textId="4BDBAC1C" w:rsidR="00725D0B" w:rsidRDefault="00725D0B" w:rsidP="00725D0B">
      <w:pPr>
        <w:jc w:val="both"/>
        <w:rPr>
          <w:rFonts w:asciiTheme="minorHAnsi" w:hAnsiTheme="minorHAnsi" w:cstheme="minorHAnsi"/>
          <w:sz w:val="24"/>
          <w:szCs w:val="24"/>
        </w:rPr>
      </w:pPr>
      <w:r w:rsidRPr="00725D0B">
        <w:rPr>
          <w:rFonts w:asciiTheme="minorHAnsi" w:hAnsiTheme="minorHAnsi" w:cstheme="minorHAnsi"/>
          <w:sz w:val="24"/>
          <w:szCs w:val="24"/>
        </w:rPr>
        <w:t>Wobec tego do przeliczenia łącznego kosztu projektu stosuje się miesięczny obrachunkowy kurs wymiany waluty stosowany przez KE, aktualny na dzień ogłoszenia naboru a nie na dzień podpisania umowy o dofinansowanie.</w:t>
      </w:r>
    </w:p>
    <w:p w14:paraId="45668743" w14:textId="095FEE0F" w:rsidR="00725D0B" w:rsidRDefault="00725D0B" w:rsidP="00725D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3C6B53" w14:textId="77777777" w:rsidR="00725D0B" w:rsidRPr="00725D0B" w:rsidRDefault="00725D0B" w:rsidP="00725D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F37DA8" w14:textId="5C548722" w:rsidR="00725D0B" w:rsidRPr="00725D0B" w:rsidRDefault="00725D0B" w:rsidP="00725D0B">
      <w:pPr>
        <w:rPr>
          <w:rFonts w:asciiTheme="minorHAnsi" w:hAnsiTheme="minorHAnsi" w:cstheme="minorHAnsi"/>
          <w:sz w:val="24"/>
          <w:szCs w:val="24"/>
        </w:rPr>
      </w:pPr>
    </w:p>
    <w:p w14:paraId="31D0F7CC" w14:textId="19681F98" w:rsidR="00725D0B" w:rsidRPr="00725D0B" w:rsidRDefault="00725D0B" w:rsidP="00725D0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25D0B">
        <w:rPr>
          <w:rFonts w:asciiTheme="minorHAnsi" w:hAnsiTheme="minorHAnsi" w:cstheme="minorHAnsi"/>
          <w:b/>
          <w:bCs/>
          <w:sz w:val="24"/>
          <w:szCs w:val="24"/>
        </w:rPr>
        <w:lastRenderedPageBreak/>
        <w:t>Pytanie 3:</w:t>
      </w:r>
    </w:p>
    <w:p w14:paraId="2B583243" w14:textId="734C0257" w:rsidR="00725D0B" w:rsidRPr="00725D0B" w:rsidRDefault="00725D0B" w:rsidP="00725D0B">
      <w:pPr>
        <w:rPr>
          <w:rFonts w:asciiTheme="minorHAnsi" w:hAnsiTheme="minorHAnsi" w:cstheme="minorHAnsi"/>
          <w:sz w:val="24"/>
          <w:szCs w:val="24"/>
        </w:rPr>
      </w:pPr>
      <w:r w:rsidRPr="00725D0B">
        <w:rPr>
          <w:rFonts w:asciiTheme="minorHAnsi" w:hAnsiTheme="minorHAnsi" w:cstheme="minorHAnsi"/>
          <w:sz w:val="24"/>
          <w:szCs w:val="24"/>
        </w:rPr>
        <w:t>Jak należy interpretować zapis „prawidłowo rozliczył” odnoszący się do projektów, o których mowa w specyficznym kryterium dostępu nr 2</w:t>
      </w:r>
      <w:r w:rsidRPr="00725D0B">
        <w:rPr>
          <w:rFonts w:asciiTheme="minorHAnsi" w:hAnsiTheme="minorHAnsi" w:cstheme="minorHAnsi"/>
          <w:sz w:val="24"/>
          <w:szCs w:val="24"/>
        </w:rPr>
        <w:t>?</w:t>
      </w:r>
      <w:r w:rsidRPr="00725D0B">
        <w:rPr>
          <w:rFonts w:asciiTheme="minorHAnsi" w:hAnsiTheme="minorHAnsi" w:cstheme="minorHAnsi"/>
          <w:sz w:val="24"/>
          <w:szCs w:val="24"/>
        </w:rPr>
        <w:t xml:space="preserve"> Czy są to projekty, w ramach których zastał złożony końcowy wniosek o płatność?</w:t>
      </w:r>
    </w:p>
    <w:p w14:paraId="718D1020" w14:textId="77777777" w:rsidR="00725D0B" w:rsidRPr="00725D0B" w:rsidRDefault="00725D0B" w:rsidP="00725D0B">
      <w:pPr>
        <w:rPr>
          <w:rFonts w:asciiTheme="minorHAnsi" w:hAnsiTheme="minorHAnsi" w:cstheme="minorHAnsi"/>
          <w:sz w:val="24"/>
          <w:szCs w:val="24"/>
        </w:rPr>
      </w:pPr>
    </w:p>
    <w:p w14:paraId="4BB08905" w14:textId="58C63E99" w:rsidR="00725D0B" w:rsidRPr="00725D0B" w:rsidRDefault="00725D0B" w:rsidP="00725D0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25D0B">
        <w:rPr>
          <w:rFonts w:asciiTheme="minorHAnsi" w:hAnsiTheme="minorHAnsi" w:cstheme="minorHAnsi"/>
          <w:b/>
          <w:bCs/>
          <w:sz w:val="24"/>
          <w:szCs w:val="24"/>
        </w:rPr>
        <w:t>Odpowiedź</w:t>
      </w:r>
      <w:r w:rsidRPr="00725D0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EAC97C5" w14:textId="1763A1CC" w:rsidR="00725D0B" w:rsidRPr="00725D0B" w:rsidRDefault="00725D0B" w:rsidP="00725D0B">
      <w:pPr>
        <w:rPr>
          <w:rFonts w:asciiTheme="minorHAnsi" w:hAnsiTheme="minorHAnsi" w:cstheme="minorHAnsi"/>
          <w:sz w:val="24"/>
          <w:szCs w:val="24"/>
        </w:rPr>
      </w:pPr>
      <w:r w:rsidRPr="00725D0B">
        <w:rPr>
          <w:rFonts w:asciiTheme="minorHAnsi" w:hAnsiTheme="minorHAnsi" w:cstheme="minorHAnsi"/>
          <w:sz w:val="24"/>
          <w:szCs w:val="24"/>
        </w:rPr>
        <w:t>Zgodnie z Kryterium specyficznym dostępu nr 2:</w:t>
      </w:r>
      <w:r w:rsidRPr="00725D0B">
        <w:rPr>
          <w:rFonts w:asciiTheme="minorHAnsi" w:hAnsiTheme="minorHAnsi" w:cstheme="minorHAnsi"/>
          <w:sz w:val="24"/>
          <w:szCs w:val="24"/>
        </w:rPr>
        <w:t xml:space="preserve"> </w:t>
      </w:r>
      <w:r w:rsidRPr="00725D0B">
        <w:rPr>
          <w:rFonts w:asciiTheme="minorHAnsi" w:hAnsiTheme="minorHAnsi" w:cstheme="minorHAnsi"/>
          <w:sz w:val="24"/>
          <w:szCs w:val="24"/>
        </w:rPr>
        <w:t>Wnioskodawca posiada doświadczenie w realizacji projektów lub programów dotyczących doskonalenia kompetencji zawodowych kadry szkół i placówek systemu oświaty oraz wdrożeniu nowoczesnych metod uczenia się uczniów w obszarze kształcenia ogólnego.</w:t>
      </w:r>
    </w:p>
    <w:p w14:paraId="6E4743D8" w14:textId="77777777" w:rsidR="00725D0B" w:rsidRPr="00725D0B" w:rsidRDefault="00725D0B" w:rsidP="00725D0B">
      <w:pPr>
        <w:rPr>
          <w:rFonts w:asciiTheme="minorHAnsi" w:hAnsiTheme="minorHAnsi" w:cstheme="minorHAnsi"/>
          <w:sz w:val="24"/>
          <w:szCs w:val="24"/>
        </w:rPr>
      </w:pPr>
    </w:p>
    <w:p w14:paraId="3F02A93C" w14:textId="77777777" w:rsidR="00725D0B" w:rsidRPr="00725D0B" w:rsidRDefault="00725D0B" w:rsidP="00725D0B">
      <w:pPr>
        <w:rPr>
          <w:rFonts w:asciiTheme="minorHAnsi" w:hAnsiTheme="minorHAnsi" w:cstheme="minorHAnsi"/>
          <w:sz w:val="24"/>
          <w:szCs w:val="24"/>
        </w:rPr>
      </w:pPr>
      <w:r w:rsidRPr="00725D0B">
        <w:rPr>
          <w:rFonts w:asciiTheme="minorHAnsi" w:hAnsiTheme="minorHAnsi" w:cstheme="minorHAnsi"/>
          <w:sz w:val="24"/>
          <w:szCs w:val="24"/>
        </w:rPr>
        <w:t>Zgodnie z definicją powyższego kryterium: Wnioskodawca musi wykazać, że w okresie 5 lat przed terminem złożenia wniosku o dofinansowanie projektu zrealizował (ukończył realizację i prawidłowo rozliczył), samodzielnie lub jako partner minimum 5 projektów lub programów dotyczących doskonalenia kompetencji zawodowych kadry szkół i placówek systemu oświaty i wdrożenia nowoczesnych metod uczenia się w obszarze kształcenia ogólnego, w tym co najmniej jeden projekt o wartości minimum 2 mln zł.</w:t>
      </w:r>
    </w:p>
    <w:p w14:paraId="64232EB3" w14:textId="77777777" w:rsidR="00725D0B" w:rsidRPr="00725D0B" w:rsidRDefault="00725D0B" w:rsidP="00725D0B">
      <w:pPr>
        <w:rPr>
          <w:rFonts w:asciiTheme="minorHAnsi" w:hAnsiTheme="minorHAnsi" w:cstheme="minorHAnsi"/>
          <w:sz w:val="24"/>
          <w:szCs w:val="24"/>
        </w:rPr>
      </w:pPr>
    </w:p>
    <w:p w14:paraId="0B237D13" w14:textId="6442D757" w:rsidR="00725D0B" w:rsidRPr="00725D0B" w:rsidRDefault="00725D0B" w:rsidP="00725D0B">
      <w:pPr>
        <w:rPr>
          <w:rFonts w:asciiTheme="minorHAnsi" w:hAnsiTheme="minorHAnsi" w:cstheme="minorHAnsi"/>
          <w:sz w:val="24"/>
          <w:szCs w:val="24"/>
        </w:rPr>
      </w:pPr>
      <w:r w:rsidRPr="00725D0B">
        <w:rPr>
          <w:rFonts w:asciiTheme="minorHAnsi" w:hAnsiTheme="minorHAnsi" w:cstheme="minorHAnsi"/>
          <w:sz w:val="24"/>
          <w:szCs w:val="24"/>
        </w:rPr>
        <w:t>Zgodnie z interpretacją ION, mając na względzie powyższe kryterium, zapis „prawidłowo rozliczył” w odniesieniu do konkretnego projektu nie jest równoznaczne ze złożeniem końcowego wniosku o płatność. W opinii ION prawidłowo rozliczony projekt to taki, w którym końcowy wniosek o płatność został prawidłowo rozliczony, co zostało potwierdzone pozytywną informacją o wyniku jego weryfikacji.</w:t>
      </w:r>
    </w:p>
    <w:p w14:paraId="4A90B933" w14:textId="77777777" w:rsidR="00725D0B" w:rsidRPr="00725D0B" w:rsidRDefault="00725D0B" w:rsidP="00725D0B">
      <w:pPr>
        <w:rPr>
          <w:rFonts w:asciiTheme="minorHAnsi" w:hAnsiTheme="minorHAnsi" w:cstheme="minorHAnsi"/>
          <w:sz w:val="24"/>
          <w:szCs w:val="24"/>
        </w:rPr>
      </w:pPr>
    </w:p>
    <w:sectPr w:rsidR="00725D0B" w:rsidRPr="0072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47E03"/>
    <w:multiLevelType w:val="multilevel"/>
    <w:tmpl w:val="909C1D84"/>
    <w:numStyleLink w:val="NumeracjaTre-K"/>
  </w:abstractNum>
  <w:abstractNum w:abstractNumId="1" w15:restartNumberingAfterBreak="0">
    <w:nsid w:val="54870A68"/>
    <w:multiLevelType w:val="multilevel"/>
    <w:tmpl w:val="909C1D84"/>
    <w:name w:val="NumeracjaTreści-K"/>
    <w:styleLink w:val="NumeracjaTre-K"/>
    <w:lvl w:ilvl="0">
      <w:start w:val="1"/>
      <w:numFmt w:val="decimal"/>
      <w:pStyle w:val="TreNum-K"/>
      <w:lvlText w:val="%1."/>
      <w:lvlJc w:val="left"/>
      <w:pPr>
        <w:ind w:left="357" w:hanging="357"/>
      </w:pPr>
      <w:rPr>
        <w:rFonts w:ascii="Arial" w:hAnsi="Arial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pStyle w:val="TreNum-K"/>
        <w:lvlText w:val="%1."/>
        <w:lvlJc w:val="left"/>
        <w:pPr>
          <w:ind w:left="357" w:hanging="357"/>
        </w:pPr>
        <w:rPr>
          <w:rFonts w:ascii="Arial" w:hAnsi="Arial"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57" w:hanging="357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4">
      <w:lvl w:ilvl="4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5">
      <w:lvl w:ilvl="5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6">
      <w:lvl w:ilvl="6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7">
      <w:lvl w:ilvl="7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8">
      <w:lvl w:ilvl="8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58"/>
    <w:rsid w:val="000E0458"/>
    <w:rsid w:val="0065135B"/>
    <w:rsid w:val="0072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8C3A"/>
  <w15:chartTrackingRefBased/>
  <w15:docId w15:val="{A4173FF0-AA85-4035-8907-EA775F0A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D0B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725D0B"/>
    <w:pPr>
      <w:autoSpaceDE w:val="0"/>
      <w:autoSpaceDN w:val="0"/>
    </w:pPr>
    <w:rPr>
      <w:color w:val="000000"/>
      <w:sz w:val="24"/>
      <w:szCs w:val="24"/>
    </w:rPr>
  </w:style>
  <w:style w:type="paragraph" w:customStyle="1" w:styleId="TreNum-K">
    <w:name w:val="TreśćNum-K"/>
    <w:basedOn w:val="Default"/>
    <w:qFormat/>
    <w:rsid w:val="00725D0B"/>
    <w:pPr>
      <w:numPr>
        <w:numId w:val="2"/>
      </w:numPr>
      <w:adjustRightInd w:val="0"/>
      <w:spacing w:line="360" w:lineRule="auto"/>
      <w:jc w:val="both"/>
    </w:pPr>
    <w:rPr>
      <w:rFonts w:ascii="Arial" w:hAnsi="Arial" w:cs="Arial"/>
      <w:color w:val="auto"/>
      <w:sz w:val="22"/>
      <w:szCs w:val="22"/>
      <w:lang w:eastAsia="en-US"/>
    </w:rPr>
  </w:style>
  <w:style w:type="numbering" w:customStyle="1" w:styleId="NumeracjaTre-K">
    <w:name w:val="NumeracjaTreść-K"/>
    <w:uiPriority w:val="99"/>
    <w:rsid w:val="00725D0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1392</Words>
  <Characters>8356</Characters>
  <Application>Microsoft Office Word</Application>
  <DocSecurity>0</DocSecurity>
  <Lines>69</Lines>
  <Paragraphs>19</Paragraphs>
  <ScaleCrop>false</ScaleCrop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Rybak-Skibniewska</dc:creator>
  <cp:keywords/>
  <dc:description/>
  <cp:lastModifiedBy>Iwona Rybak-Skibniewska</cp:lastModifiedBy>
  <cp:revision>2</cp:revision>
  <dcterms:created xsi:type="dcterms:W3CDTF">2024-01-24T13:00:00Z</dcterms:created>
  <dcterms:modified xsi:type="dcterms:W3CDTF">2024-01-24T13:05:00Z</dcterms:modified>
</cp:coreProperties>
</file>