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ECE1" w14:textId="50B2342C" w:rsidR="007D3277" w:rsidRPr="007D3277" w:rsidRDefault="007D3277" w:rsidP="007D3277">
      <w:pPr>
        <w:spacing w:before="0" w:after="0"/>
        <w:rPr>
          <w:rFonts w:cstheme="minorHAnsi"/>
          <w:bCs/>
        </w:rPr>
      </w:pPr>
      <w:r w:rsidRPr="007D3277">
        <w:rPr>
          <w:rFonts w:cstheme="minorHAnsi"/>
          <w:bCs/>
        </w:rPr>
        <w:t xml:space="preserve">Załącznik nr </w:t>
      </w:r>
      <w:r w:rsidR="001C6F00">
        <w:rPr>
          <w:rFonts w:cstheme="minorHAnsi"/>
          <w:bCs/>
        </w:rPr>
        <w:t>1</w:t>
      </w:r>
      <w:r w:rsidRPr="007D3277">
        <w:rPr>
          <w:rFonts w:cstheme="minorHAnsi"/>
          <w:bCs/>
        </w:rPr>
        <w:t xml:space="preserve"> do Regulaminu wyboru projektów – Kryteria wyboru projektów</w:t>
      </w:r>
      <w:r w:rsidR="00314821">
        <w:rPr>
          <w:rFonts w:cstheme="minorHAnsi"/>
          <w:bCs/>
        </w:rPr>
        <w:t xml:space="preserve"> w ramach naboru nr FEWM.06.0</w:t>
      </w:r>
      <w:r w:rsidR="00853998">
        <w:rPr>
          <w:rFonts w:cstheme="minorHAnsi"/>
          <w:bCs/>
        </w:rPr>
        <w:t>3</w:t>
      </w:r>
      <w:r w:rsidR="00314821">
        <w:rPr>
          <w:rFonts w:cstheme="minorHAnsi"/>
          <w:bCs/>
        </w:rPr>
        <w:t>-IZ.00-001/23</w:t>
      </w:r>
    </w:p>
    <w:p w14:paraId="2A19F85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5210F7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A24962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20B41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F3D082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D97B33A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246FD9C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1679C8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4B150E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B777FCE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2A2D111" w14:textId="0D5125D1" w:rsidR="009E1DFA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</w:t>
      </w:r>
      <w:r w:rsidR="00F56DA2" w:rsidRPr="007D3277">
        <w:rPr>
          <w:rFonts w:cstheme="minorHAnsi"/>
          <w:b/>
          <w:bCs/>
          <w:sz w:val="28"/>
          <w:szCs w:val="28"/>
        </w:rPr>
        <w:t xml:space="preserve"> 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dla </w:t>
      </w:r>
      <w:r w:rsidRPr="007D3277">
        <w:rPr>
          <w:rFonts w:cstheme="minorHAnsi"/>
          <w:b/>
          <w:bCs/>
          <w:sz w:val="28"/>
          <w:szCs w:val="28"/>
        </w:rPr>
        <w:t xml:space="preserve">naboru nr </w:t>
      </w:r>
      <w:r w:rsidR="000600E0" w:rsidRPr="007D3277">
        <w:rPr>
          <w:rFonts w:cstheme="minorHAnsi"/>
          <w:b/>
          <w:bCs/>
          <w:sz w:val="28"/>
          <w:szCs w:val="28"/>
        </w:rPr>
        <w:t>FEWM.06.0</w:t>
      </w:r>
      <w:r w:rsidR="00853998">
        <w:rPr>
          <w:rFonts w:cstheme="minorHAnsi"/>
          <w:b/>
          <w:bCs/>
          <w:sz w:val="28"/>
          <w:szCs w:val="28"/>
        </w:rPr>
        <w:t>3</w:t>
      </w:r>
      <w:r w:rsidR="000600E0" w:rsidRPr="007D3277">
        <w:rPr>
          <w:rFonts w:cstheme="minorHAnsi"/>
          <w:b/>
          <w:bCs/>
          <w:sz w:val="28"/>
          <w:szCs w:val="28"/>
        </w:rPr>
        <w:t>-IZ.00-001/23</w:t>
      </w:r>
    </w:p>
    <w:p w14:paraId="4128D590" w14:textId="1CF9DD69" w:rsidR="000E5221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FC2FDD" w:rsidRPr="007D3277">
        <w:rPr>
          <w:rFonts w:cstheme="minorHAnsi"/>
          <w:b/>
          <w:bCs/>
          <w:sz w:val="28"/>
          <w:szCs w:val="28"/>
        </w:rPr>
        <w:t>Działania 6.</w:t>
      </w:r>
      <w:r w:rsidR="00853998">
        <w:rPr>
          <w:rFonts w:cstheme="minorHAnsi"/>
          <w:b/>
          <w:bCs/>
          <w:sz w:val="28"/>
          <w:szCs w:val="28"/>
        </w:rPr>
        <w:t>3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 Edukacja </w:t>
      </w:r>
      <w:r w:rsidR="00853998">
        <w:rPr>
          <w:rFonts w:cstheme="minorHAnsi"/>
          <w:b/>
          <w:bCs/>
          <w:sz w:val="28"/>
          <w:szCs w:val="28"/>
        </w:rPr>
        <w:t>ogólnokształcąca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 </w:t>
      </w:r>
    </w:p>
    <w:p w14:paraId="38AFD611" w14:textId="690C2E64" w:rsidR="00631BF5" w:rsidRPr="00631BF5" w:rsidRDefault="00631BF5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631BF5">
        <w:rPr>
          <w:rFonts w:cstheme="minorHAnsi"/>
          <w:b/>
          <w:bCs/>
          <w:sz w:val="28"/>
          <w:szCs w:val="28"/>
        </w:rPr>
        <w:t xml:space="preserve">Projekt strategiczny POTRAFIĘ – DECYDUJĘ – DZIAŁAM </w:t>
      </w:r>
      <w:r w:rsidRPr="00631BF5">
        <w:rPr>
          <w:rFonts w:cstheme="minorHAnsi"/>
          <w:b/>
          <w:bCs/>
          <w:sz w:val="28"/>
          <w:szCs w:val="28"/>
        </w:rPr>
        <w:br/>
        <w:t>program wspierania aktywności i inicjatyw młodzieży w województwie warmińsko-mazurskim</w:t>
      </w:r>
    </w:p>
    <w:p w14:paraId="4B5FFDB7" w14:textId="77777777" w:rsidR="00D37E98" w:rsidRPr="007D3277" w:rsidRDefault="00FC2FDD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współfinansowanego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 ze środków Europ</w:t>
      </w:r>
      <w:r w:rsidRPr="007D3277">
        <w:rPr>
          <w:rFonts w:cstheme="minorHAnsi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7D3277"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 w:rsidR="007D3277">
        <w:rPr>
          <w:rFonts w:cstheme="minorHAnsi"/>
          <w:b/>
          <w:bCs/>
          <w:sz w:val="28"/>
          <w:szCs w:val="28"/>
        </w:rPr>
        <w:t xml:space="preserve">regionalnego </w:t>
      </w:r>
    </w:p>
    <w:p w14:paraId="1617E9D9" w14:textId="11EF789A" w:rsidR="004376F6" w:rsidRP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Fundusze Europejskie dla Warmii i Mazur 2021 - 2027</w:t>
      </w:r>
    </w:p>
    <w:p w14:paraId="4FA72966" w14:textId="77777777" w:rsidR="00580F0D" w:rsidRPr="00882091" w:rsidRDefault="00580F0D">
      <w:pPr>
        <w:rPr>
          <w:rFonts w:cstheme="minorHAnsi"/>
          <w:sz w:val="40"/>
          <w:szCs w:val="40"/>
        </w:rPr>
      </w:pPr>
    </w:p>
    <w:p w14:paraId="53FE4660" w14:textId="77777777" w:rsidR="00F56DA2" w:rsidRPr="00882091" w:rsidRDefault="00F56DA2" w:rsidP="00580F0D">
      <w:pPr>
        <w:spacing w:after="0"/>
        <w:rPr>
          <w:rFonts w:cstheme="minorHAnsi"/>
          <w:sz w:val="28"/>
          <w:szCs w:val="28"/>
        </w:rPr>
      </w:pPr>
    </w:p>
    <w:p w14:paraId="5CDEAFCF" w14:textId="77777777" w:rsidR="00F56DA2" w:rsidRPr="00882091" w:rsidRDefault="00F56DA2">
      <w:pPr>
        <w:rPr>
          <w:rFonts w:cstheme="minorHAnsi"/>
          <w:sz w:val="40"/>
          <w:szCs w:val="40"/>
        </w:rPr>
      </w:pPr>
    </w:p>
    <w:p w14:paraId="5F23D9AD" w14:textId="690E5D87" w:rsidR="004B0406" w:rsidRPr="00882091" w:rsidRDefault="004B0406">
      <w:pPr>
        <w:rPr>
          <w:rFonts w:cstheme="minorHAnsi"/>
          <w:sz w:val="40"/>
          <w:szCs w:val="40"/>
        </w:rPr>
      </w:pPr>
    </w:p>
    <w:p w14:paraId="3FECD754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2BB3F5BF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3B2FD3D5" w14:textId="77777777" w:rsidR="00D42427" w:rsidRPr="00882091" w:rsidRDefault="00D42427" w:rsidP="00882091">
      <w:pPr>
        <w:rPr>
          <w:rFonts w:cstheme="minorHAnsi"/>
          <w:sz w:val="24"/>
          <w:szCs w:val="24"/>
        </w:rPr>
        <w:sectPr w:rsidR="00D42427" w:rsidRPr="00882091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p w14:paraId="4E207D13" w14:textId="77777777" w:rsidR="00631BF5" w:rsidRPr="00631BF5" w:rsidRDefault="00631BF5" w:rsidP="00631BF5">
      <w:pPr>
        <w:rPr>
          <w:rFonts w:cstheme="minorHAnsi"/>
        </w:rPr>
      </w:pPr>
    </w:p>
    <w:p w14:paraId="4F6B25C8" w14:textId="77777777" w:rsidR="00631BF5" w:rsidRPr="00631BF5" w:rsidRDefault="00631BF5" w:rsidP="00631BF5">
      <w:pPr>
        <w:rPr>
          <w:rFonts w:cstheme="minorHAnsi"/>
          <w:sz w:val="24"/>
          <w:szCs w:val="24"/>
          <w:u w:val="single"/>
        </w:rPr>
      </w:pPr>
      <w:r w:rsidRPr="00631BF5">
        <w:rPr>
          <w:rFonts w:cstheme="minorHAnsi"/>
          <w:sz w:val="24"/>
          <w:szCs w:val="24"/>
          <w:u w:val="single"/>
        </w:rPr>
        <w:t>SYSTEMATYKA KRYTERIÓW</w:t>
      </w:r>
    </w:p>
    <w:p w14:paraId="5C95485D" w14:textId="77777777" w:rsidR="00631BF5" w:rsidRPr="00631BF5" w:rsidRDefault="00631BF5" w:rsidP="00631BF5">
      <w:pPr>
        <w:numPr>
          <w:ilvl w:val="0"/>
          <w:numId w:val="27"/>
        </w:numPr>
        <w:spacing w:before="120" w:after="0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>Kryteria ogólne:</w:t>
      </w:r>
    </w:p>
    <w:p w14:paraId="66060866" w14:textId="77777777" w:rsidR="00631BF5" w:rsidRPr="00631BF5" w:rsidRDefault="00631BF5" w:rsidP="00631BF5">
      <w:pPr>
        <w:numPr>
          <w:ilvl w:val="0"/>
          <w:numId w:val="30"/>
        </w:numPr>
        <w:spacing w:before="120" w:after="0"/>
        <w:ind w:firstLine="414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 xml:space="preserve">zerojedynkowe </w:t>
      </w:r>
    </w:p>
    <w:p w14:paraId="107D317C" w14:textId="77777777" w:rsidR="00631BF5" w:rsidRPr="00631BF5" w:rsidRDefault="00631BF5" w:rsidP="00631BF5">
      <w:pPr>
        <w:numPr>
          <w:ilvl w:val="0"/>
          <w:numId w:val="28"/>
        </w:numPr>
        <w:spacing w:before="120" w:after="0"/>
        <w:ind w:firstLine="54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>punktowe</w:t>
      </w:r>
    </w:p>
    <w:p w14:paraId="2DE02243" w14:textId="77777777" w:rsidR="00631BF5" w:rsidRPr="00631BF5" w:rsidRDefault="00631BF5" w:rsidP="00631BF5">
      <w:pPr>
        <w:numPr>
          <w:ilvl w:val="0"/>
          <w:numId w:val="27"/>
        </w:numPr>
        <w:spacing w:before="120" w:after="0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>Kryteria specyficzne:</w:t>
      </w:r>
    </w:p>
    <w:p w14:paraId="0A8F315F" w14:textId="77777777" w:rsidR="00631BF5" w:rsidRPr="00631BF5" w:rsidRDefault="00631BF5" w:rsidP="00631BF5">
      <w:pPr>
        <w:numPr>
          <w:ilvl w:val="0"/>
          <w:numId w:val="29"/>
        </w:numPr>
        <w:spacing w:before="120" w:after="0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>dostępu</w:t>
      </w:r>
    </w:p>
    <w:p w14:paraId="3265B280" w14:textId="77777777" w:rsidR="00631BF5" w:rsidRPr="00631BF5" w:rsidRDefault="00631BF5" w:rsidP="00631BF5">
      <w:pPr>
        <w:numPr>
          <w:ilvl w:val="0"/>
          <w:numId w:val="27"/>
        </w:numPr>
        <w:spacing w:before="120" w:after="0"/>
        <w:contextualSpacing/>
        <w:rPr>
          <w:rFonts w:cstheme="minorHAnsi"/>
          <w:sz w:val="24"/>
          <w:szCs w:val="24"/>
        </w:rPr>
      </w:pPr>
      <w:r w:rsidRPr="00631BF5">
        <w:rPr>
          <w:rFonts w:cstheme="minorHAnsi"/>
          <w:sz w:val="24"/>
          <w:szCs w:val="24"/>
        </w:rPr>
        <w:t>Kryterium etapu negocjacji</w:t>
      </w:r>
    </w:p>
    <w:p w14:paraId="027D99B1" w14:textId="77777777" w:rsidR="00631BF5" w:rsidRPr="00631BF5" w:rsidRDefault="00631BF5" w:rsidP="00631BF5">
      <w:pPr>
        <w:rPr>
          <w:rFonts w:cstheme="minorHAnsi"/>
        </w:rPr>
      </w:pPr>
    </w:p>
    <w:p w14:paraId="277DCFD4" w14:textId="77777777" w:rsidR="00631BF5" w:rsidRPr="00631BF5" w:rsidRDefault="00631BF5" w:rsidP="00631BF5">
      <w:pPr>
        <w:rPr>
          <w:rFonts w:cstheme="minorHAnsi"/>
        </w:rPr>
      </w:pPr>
    </w:p>
    <w:p w14:paraId="209AB829" w14:textId="77777777" w:rsidR="00631BF5" w:rsidRPr="00631BF5" w:rsidRDefault="00631BF5" w:rsidP="00631BF5">
      <w:pPr>
        <w:rPr>
          <w:rFonts w:cstheme="minorHAnsi"/>
        </w:rPr>
      </w:pPr>
    </w:p>
    <w:p w14:paraId="6A97B397" w14:textId="77777777" w:rsidR="00631BF5" w:rsidRPr="00631BF5" w:rsidRDefault="00631BF5" w:rsidP="00631BF5">
      <w:pPr>
        <w:rPr>
          <w:rFonts w:cstheme="minorHAnsi"/>
        </w:rPr>
      </w:pPr>
    </w:p>
    <w:p w14:paraId="58D1989F" w14:textId="77777777" w:rsidR="00631BF5" w:rsidRPr="00631BF5" w:rsidRDefault="00631BF5" w:rsidP="00631BF5">
      <w:pPr>
        <w:jc w:val="center"/>
        <w:rPr>
          <w:rFonts w:cstheme="minorHAnsi"/>
          <w:sz w:val="24"/>
          <w:szCs w:val="24"/>
        </w:rPr>
      </w:pPr>
    </w:p>
    <w:p w14:paraId="7BD8F3C2" w14:textId="2A5462B8" w:rsidR="00631BF5" w:rsidRDefault="00631BF5" w:rsidP="00631BF5">
      <w:pPr>
        <w:rPr>
          <w:rFonts w:cstheme="minorHAnsi"/>
          <w:sz w:val="24"/>
          <w:szCs w:val="24"/>
        </w:rPr>
      </w:pPr>
    </w:p>
    <w:p w14:paraId="025BED96" w14:textId="1BB64493" w:rsidR="00631BF5" w:rsidRDefault="00631BF5" w:rsidP="00631BF5">
      <w:pPr>
        <w:rPr>
          <w:rFonts w:cstheme="minorHAnsi"/>
          <w:sz w:val="24"/>
          <w:szCs w:val="24"/>
        </w:rPr>
      </w:pPr>
    </w:p>
    <w:p w14:paraId="3A716DE8" w14:textId="2C923819" w:rsidR="00631BF5" w:rsidRDefault="00631BF5" w:rsidP="00631BF5">
      <w:pPr>
        <w:rPr>
          <w:rFonts w:cstheme="minorHAnsi"/>
          <w:sz w:val="24"/>
          <w:szCs w:val="24"/>
        </w:rPr>
      </w:pPr>
    </w:p>
    <w:p w14:paraId="007ED042" w14:textId="1C0817CB" w:rsidR="00631BF5" w:rsidRDefault="00631BF5" w:rsidP="00631BF5">
      <w:pPr>
        <w:rPr>
          <w:rFonts w:cstheme="minorHAnsi"/>
          <w:sz w:val="24"/>
          <w:szCs w:val="24"/>
        </w:rPr>
      </w:pPr>
    </w:p>
    <w:p w14:paraId="063062AD" w14:textId="77777777" w:rsidR="00631BF5" w:rsidRPr="00631BF5" w:rsidRDefault="00631BF5" w:rsidP="00631BF5">
      <w:pPr>
        <w:rPr>
          <w:rFonts w:cstheme="minorHAnsi"/>
          <w:sz w:val="24"/>
          <w:szCs w:val="24"/>
        </w:rPr>
      </w:pPr>
    </w:p>
    <w:p w14:paraId="6E85B232" w14:textId="371D2E9E" w:rsidR="00631BF5" w:rsidRPr="00631BF5" w:rsidRDefault="00631BF5" w:rsidP="00631BF5">
      <w:pPr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631BF5" w:rsidRPr="00631BF5" w14:paraId="440E2235" w14:textId="77777777" w:rsidTr="00A539EA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1A121DCE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631BF5" w:rsidRPr="00631BF5" w14:paraId="41101CA1" w14:textId="77777777" w:rsidTr="00A539EA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D4311D5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ZEROJEDYNKOWE</w:t>
            </w:r>
            <w:r w:rsidRPr="00631BF5">
              <w:rPr>
                <w:rFonts w:cstheme="minorHAnsi"/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631BF5" w:rsidRPr="00631BF5" w14:paraId="41C91743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222716E5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50A610D4" w14:textId="77777777" w:rsidR="00631BF5" w:rsidRPr="00631BF5" w:rsidRDefault="00631BF5" w:rsidP="00631BF5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0DE0735B" w14:textId="77777777" w:rsidR="00631BF5" w:rsidRPr="00631BF5" w:rsidRDefault="00631BF5" w:rsidP="00631BF5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76B61178" w14:textId="77777777" w:rsidR="00631BF5" w:rsidRPr="00631BF5" w:rsidRDefault="00631BF5" w:rsidP="00631BF5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631BF5" w:rsidRPr="00631BF5" w14:paraId="710B2CF3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A8E4A1E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1FBE4681" w14:textId="77777777" w:rsidR="00631BF5" w:rsidRPr="00631BF5" w:rsidRDefault="00631BF5" w:rsidP="00631BF5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61A38207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AE1B964" w14:textId="77777777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7A8487AA" w14:textId="77777777" w:rsidR="00A26DEE" w:rsidRDefault="00A26DEE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315443F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1E80B04" w14:textId="77777777" w:rsidR="00A26DEE" w:rsidRPr="000F4303" w:rsidRDefault="00A26DEE" w:rsidP="00A26DEE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58C0251A" w14:textId="7DFB6207" w:rsidR="00A26DEE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lastRenderedPageBreak/>
              <w:t>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5E5C3920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30862EF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43C82A4A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631BF5" w:rsidRPr="00631BF5" w14:paraId="2959445E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4C85ED6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75" w:type="dxa"/>
          </w:tcPr>
          <w:p w14:paraId="25EB1BA0" w14:textId="77777777" w:rsidR="00631BF5" w:rsidRPr="00631BF5" w:rsidRDefault="00631BF5" w:rsidP="00631BF5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w Nowym Jorku dnia 13 grudnia 2006 r., w zakresie odnoszącym się do sposobu realizacji i zakresu projektu. </w:t>
            </w:r>
          </w:p>
          <w:p w14:paraId="478F8179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5392B766" w14:textId="77777777" w:rsidR="00631BF5" w:rsidRDefault="00631BF5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1AE27ECE" w14:textId="77777777" w:rsidR="00A26DEE" w:rsidRDefault="00A26DEE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E275DA1" w14:textId="77777777" w:rsidR="00A26DEE" w:rsidRPr="00A002DC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73FDD8D" w14:textId="77777777" w:rsidR="00A26DEE" w:rsidRDefault="00A26DEE" w:rsidP="00A26DEE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766C935" w14:textId="782351FF" w:rsidR="00A26DEE" w:rsidRPr="00631BF5" w:rsidRDefault="00A26DEE" w:rsidP="00A26DEE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6D41F6AE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6A157CA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46B1AD7C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631BF5" w:rsidRPr="00631BF5" w14:paraId="45B551B0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0A08737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0970243F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Projekt jest zgodny z Konwencją o Prawach Dziecka przyjętą przez Zgromadzenie Ogólne Narodów Zjednoczonych dnia 20 listopada 1989 r.  w zakresie odnoszącym się do sposobu realizacji i zakresu projektu. </w:t>
            </w:r>
          </w:p>
          <w:p w14:paraId="2E2B4181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59B3EC32" w14:textId="77777777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4D604347" w14:textId="77777777" w:rsidR="00A26DEE" w:rsidRDefault="00A26DEE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AAEDDB" w14:textId="77777777" w:rsidR="00A26DEE" w:rsidRPr="00A002DC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Dziecka przyjętą przez 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29739EA3" w14:textId="77777777" w:rsidR="00A26DEE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7CC9AE" w14:textId="53998FE8" w:rsidR="00A26DEE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6A51ED8D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133627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501160A4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 albo „do negocjacji” co </w:t>
            </w: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 xml:space="preserve">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631BF5" w:rsidRPr="00631BF5" w14:paraId="6CF304CD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80BAC2C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8A7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będzie miał pozytywny wpływ na realizację zasady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323F" w14:textId="77777777" w:rsidR="00631BF5" w:rsidRPr="00631BF5" w:rsidRDefault="00631BF5" w:rsidP="00631BF5">
            <w:pPr>
              <w:spacing w:before="0"/>
              <w:ind w:left="51" w:hanging="51"/>
              <w:rPr>
                <w:rFonts w:cstheme="minorHAnsi"/>
                <w:i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realizację zasady horyzontalnej UE: promowanie równości szans i niedyskryminacji w tym dostępności dla osób z niepełnosprawnościami, zgodnie z art. 9 Rozporządzenia Parlamentu Europejskiego i Rady (UE) nr 2021/1060 z dnia 24 czerwca 2021 r. oraz </w:t>
            </w:r>
            <w:r w:rsidRPr="00631BF5">
              <w:rPr>
                <w:rFonts w:cs="Arial"/>
              </w:rPr>
              <w:t xml:space="preserve"> będzie realizowany z zachowaniem standardów, o których mowa w </w:t>
            </w:r>
            <w:r w:rsidRPr="00631BF5">
              <w:rPr>
                <w:rFonts w:cs="Arial"/>
                <w:i/>
              </w:rPr>
              <w:t xml:space="preserve">Załączniku nr 2 do </w:t>
            </w:r>
            <w:r w:rsidRPr="00631BF5">
              <w:rPr>
                <w:i/>
              </w:rPr>
              <w:t xml:space="preserve">Wytycznych </w:t>
            </w:r>
            <w:r w:rsidRPr="00631BF5">
              <w:rPr>
                <w:rFonts w:cstheme="minorHAnsi"/>
                <w:i/>
                <w:sz w:val="22"/>
                <w:szCs w:val="22"/>
              </w:rPr>
              <w:t>dotyczących realizacji zasad równościowych w ramach funduszy unijnych na lata 2021-2027.</w:t>
            </w:r>
          </w:p>
          <w:p w14:paraId="602E8416" w14:textId="5820EE77" w:rsidR="00631BF5" w:rsidRDefault="00631BF5" w:rsidP="00631BF5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2CC646F6" w14:textId="77777777" w:rsidR="00A26DEE" w:rsidRDefault="00A26DEE" w:rsidP="00A26DEE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, gdzie Wnioskodawca zobowiązany jest wykazać pozytywny wpływ projektu na zasadę 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lastRenderedPageBreak/>
              <w:t>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4D9D1911" w14:textId="77777777" w:rsidR="00A26DEE" w:rsidRPr="007F3D26" w:rsidRDefault="00A26DEE" w:rsidP="00A26DEE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1ED788E1" w14:textId="77777777" w:rsidR="00A26DEE" w:rsidRDefault="00A26DEE" w:rsidP="00A26DEE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  <w:p w14:paraId="02693AE1" w14:textId="77777777" w:rsidR="00A26DEE" w:rsidRPr="00631BF5" w:rsidRDefault="00A26DEE" w:rsidP="00631BF5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44E77782" w14:textId="77777777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08628995" w14:textId="77777777" w:rsidR="00A26DEE" w:rsidRDefault="00A26DEE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44DDB0" w14:textId="77777777" w:rsidR="00A26DEE" w:rsidRDefault="00A26DEE" w:rsidP="00A26DEE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37F98A7F" w14:textId="77777777" w:rsidR="00A26DEE" w:rsidRPr="000F4303" w:rsidRDefault="00A26DEE" w:rsidP="00A26DEE">
            <w:pPr>
              <w:spacing w:before="0"/>
              <w:ind w:right="210"/>
              <w:rPr>
                <w:rFonts w:cstheme="minorHAnsi"/>
                <w:bCs/>
                <w:sz w:val="22"/>
                <w:szCs w:val="22"/>
              </w:rPr>
            </w:pPr>
          </w:p>
          <w:p w14:paraId="738E1ABA" w14:textId="7B42F0A4" w:rsidR="00A26DEE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5080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3B10CF4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0A4AA6F0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 xml:space="preserve">wszystkie kryteria merytoryczne lub też został skierowany do negocjacji. </w:t>
            </w:r>
          </w:p>
        </w:tc>
      </w:tr>
      <w:tr w:rsidR="00631BF5" w:rsidRPr="00631BF5" w14:paraId="33E0B9F0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0C0E7B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375" w:type="dxa"/>
          </w:tcPr>
          <w:p w14:paraId="63944EA3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631BF5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631BF5">
              <w:rPr>
                <w:rFonts w:cstheme="minorHAnsi"/>
                <w:sz w:val="22"/>
                <w:szCs w:val="22"/>
              </w:rPr>
              <w:t>.</w:t>
            </w:r>
            <w:r w:rsidRPr="00631BF5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4B99A7C5" w14:textId="682ECD96" w:rsidR="00631BF5" w:rsidRDefault="00631BF5" w:rsidP="00631BF5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6691E3CF" w14:textId="77777777" w:rsidR="00A26DEE" w:rsidRPr="00631BF5" w:rsidRDefault="00A26DEE" w:rsidP="00631BF5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60C60143" w14:textId="2F66EA3B" w:rsidR="00631BF5" w:rsidRPr="00A26DEE" w:rsidRDefault="00A26DEE" w:rsidP="00A26DEE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18D59CD0" w14:textId="77777777" w:rsidR="00A26DEE" w:rsidRPr="00631BF5" w:rsidRDefault="00A26DEE" w:rsidP="00631BF5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272B593C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Standard minimum jest spełniony w przypadku uzyskania co najmniej 3 punktów* za poniższe kryteria oceny. Maksymalna  liczba  punktów  do uzyskania  wynosi  5  ponieważ  kryterium  nr  2  i  3  są alternatywne.</w:t>
            </w:r>
          </w:p>
          <w:p w14:paraId="450B09DF" w14:textId="77777777" w:rsidR="00631BF5" w:rsidRPr="00631BF5" w:rsidRDefault="00631BF5" w:rsidP="00631BF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contextualSpacing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538676E5" w14:textId="77777777" w:rsidR="00631BF5" w:rsidRPr="00631BF5" w:rsidRDefault="00631BF5" w:rsidP="00631BF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contextualSpacing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688C0296" w14:textId="77777777" w:rsidR="00631BF5" w:rsidRPr="00631BF5" w:rsidRDefault="00631BF5" w:rsidP="00631BF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contextualSpacing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</w:t>
            </w:r>
            <w:r w:rsidRPr="00631BF5">
              <w:rPr>
                <w:rFonts w:cstheme="minorHAnsi"/>
                <w:sz w:val="22"/>
                <w:szCs w:val="22"/>
                <w:lang w:eastAsia="pl-PL"/>
              </w:rPr>
              <w:lastRenderedPageBreak/>
              <w:t>projektu zawiera działania zapewniające przestrzeganie zasady równości kobiet i mężczyzn, tak aby na żadnym etapie realizacji projektu nie wystąpiły bariery równościowe. (punktacja od 0 do 2).</w:t>
            </w:r>
          </w:p>
          <w:p w14:paraId="5E4C14B3" w14:textId="77777777" w:rsidR="00631BF5" w:rsidRPr="00631BF5" w:rsidRDefault="00631BF5" w:rsidP="00631BF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contextualSpacing/>
              <w:rPr>
                <w:rFonts w:cstheme="minorHAnsi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27C2F98F" w14:textId="77777777" w:rsidR="00631BF5" w:rsidRPr="00631BF5" w:rsidRDefault="00631BF5" w:rsidP="00631BF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contextualSpacing/>
              <w:rPr>
                <w:rFonts w:cstheme="minorHAnsi"/>
                <w:bCs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6A9A91D7" w14:textId="77777777" w:rsidR="00631BF5" w:rsidRDefault="00631BF5" w:rsidP="00631BF5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631BF5">
              <w:rPr>
                <w:rFonts w:cstheme="minorHAnsi"/>
                <w:bCs/>
                <w:sz w:val="22"/>
                <w:szCs w:val="22"/>
              </w:rPr>
              <w:t>*</w:t>
            </w:r>
            <w:r w:rsidRPr="00631BF5">
              <w:rPr>
                <w:rFonts w:cstheme="minorHAnsi"/>
                <w:sz w:val="22"/>
                <w:szCs w:val="22"/>
              </w:rPr>
              <w:t xml:space="preserve"> </w:t>
            </w:r>
            <w:r w:rsidRPr="00631BF5">
              <w:rPr>
                <w:rFonts w:cstheme="minorHAnsi"/>
                <w:bCs/>
                <w:sz w:val="22"/>
                <w:szCs w:val="22"/>
              </w:rPr>
              <w:t>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2D7E990F" w14:textId="77777777" w:rsidR="00A26DEE" w:rsidRDefault="00A26DEE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C293B0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7FA8AC76" w14:textId="77777777" w:rsidR="00A26DEE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CB751" w14:textId="04ED2FDE" w:rsidR="00A26DEE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minimum realizacji zasady równości kobiet i mężczyzn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15.1.1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7D418C7E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6B7B788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6108BCB0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273B9570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346B71EF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F49F445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75" w:type="dxa"/>
          </w:tcPr>
          <w:p w14:paraId="632CCADD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2D152ABB" w14:textId="77777777" w:rsidR="00631BF5" w:rsidRDefault="00631BF5" w:rsidP="00631BF5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631BF5">
              <w:rPr>
                <w:rFonts w:cstheme="minorHAnsi"/>
                <w:bCs/>
                <w:sz w:val="22"/>
                <w:szCs w:val="22"/>
              </w:rPr>
              <w:t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W przypadku, gdy beneficjentem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 Weryfikacja spełnienia kryterium będzie odbywała się poprzez sprawdzenie dostępnych danych, np. na stronie internetowej Rzecznika Praw Obywatelskich.</w:t>
            </w:r>
          </w:p>
          <w:p w14:paraId="632E1816" w14:textId="77777777" w:rsidR="00A26DEE" w:rsidRDefault="00A26DEE" w:rsidP="00631BF5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7A5EF043" w14:textId="77777777" w:rsidR="00A26DEE" w:rsidRPr="007D09E6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2734263D" w14:textId="77777777" w:rsidR="00A26DEE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6F6B48" w14:textId="16ABBB38" w:rsidR="00A26DEE" w:rsidRPr="00631BF5" w:rsidRDefault="00A26DEE" w:rsidP="00A26DEE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757391AE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DA8A8F5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</w:p>
          <w:p w14:paraId="7A66BCCE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left="72" w:right="142"/>
              <w:rPr>
                <w:rFonts w:eastAsia="Times New Roman" w:cstheme="minorHAnsi"/>
                <w:bCs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2662A23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1FB4D87D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8FEA2E9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375" w:type="dxa"/>
          </w:tcPr>
          <w:p w14:paraId="7BBC8A40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0B10AFA4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631BF5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631BF5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631BF5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1A2ED9C2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12649D47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color w:val="000000"/>
                <w:sz w:val="22"/>
                <w:szCs w:val="22"/>
                <w:lang w:eastAsia="pl-PL"/>
              </w:rPr>
              <w:lastRenderedPageBreak/>
              <w:t>Weryfikowany będzie pozytywny lub neutralny wpływ projektu na zasadę horyzontalną UE zrównoważony rozwój.</w:t>
            </w:r>
          </w:p>
          <w:p w14:paraId="38F2704E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47CB2D10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588C98A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24C91057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5084B2FF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0DD3AEDE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0CE8200B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21EB9C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058A08D" w14:textId="77777777" w:rsidR="00631BF5" w:rsidRPr="00631BF5" w:rsidRDefault="00631BF5" w:rsidP="00631BF5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1C11C434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że 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70A0AE18" w14:textId="77777777" w:rsidR="00A26DEE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43B931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44246AFC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3143C1C" w14:textId="44292BC0" w:rsidR="00631BF5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lastRenderedPageBreak/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0A52AD75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right="142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0D50639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75C6C5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</w:t>
            </w:r>
            <w:r w:rsidRPr="00631BF5">
              <w:rPr>
                <w:rFonts w:cstheme="minorHAnsi"/>
                <w:sz w:val="22"/>
                <w:szCs w:val="22"/>
              </w:rPr>
              <w:lastRenderedPageBreak/>
              <w:t xml:space="preserve">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631BF5" w:rsidRPr="00631BF5" w14:paraId="2663F0F9" w14:textId="77777777" w:rsidTr="00A539EA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7E2048E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8.</w:t>
            </w:r>
          </w:p>
        </w:tc>
        <w:tc>
          <w:tcPr>
            <w:tcW w:w="4375" w:type="dxa"/>
          </w:tcPr>
          <w:p w14:paraId="34D5B0ED" w14:textId="77777777" w:rsidR="00631BF5" w:rsidRPr="00631BF5" w:rsidRDefault="00631BF5" w:rsidP="00631BF5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jest zgodny z zasadą „do no significant harm” (DNSH) – „nie czyń poważnych szkód”.</w:t>
            </w:r>
          </w:p>
        </w:tc>
        <w:tc>
          <w:tcPr>
            <w:tcW w:w="5148" w:type="dxa"/>
          </w:tcPr>
          <w:p w14:paraId="04F138F6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631BF5">
              <w:rPr>
                <w:rFonts w:cstheme="minorHAnsi"/>
                <w:color w:val="000000"/>
                <w:sz w:val="22"/>
                <w:szCs w:val="22"/>
              </w:rPr>
              <w:t>Zgodność projektu (w zakresie odnoszącym się do sposobu realizacji i zakresu projektu) z zasadą „nie czyń poważnych szkód” (ang. do no significant harm – DNSH) ukierunkowaną na zmianę postaw i upowszechnianie ekologicznych praktyk, oznacza, 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631BF5">
              <w:rPr>
                <w:rFonts w:cstheme="minorHAnsi"/>
                <w:bCs/>
                <w:i/>
                <w:color w:val="000000"/>
                <w:sz w:val="22"/>
                <w:szCs w:val="22"/>
              </w:rPr>
              <w:t>Ocena zgodności projektu programu regionalnego na lata 2021-2027 Fundusze Europejskie dla Warmii I Mazur z zasadą „do no significant harm” (</w:t>
            </w:r>
            <w:r w:rsidRPr="00631BF5">
              <w:rPr>
                <w:rFonts w:cstheme="minorHAnsi"/>
                <w:i/>
                <w:color w:val="000000"/>
                <w:sz w:val="22"/>
                <w:szCs w:val="22"/>
              </w:rPr>
              <w:t>DNSH), czyli „nie czyń poważnych szkód”</w:t>
            </w:r>
            <w:r w:rsidRPr="00631BF5">
              <w:rPr>
                <w:rFonts w:cstheme="minorHAnsi"/>
                <w:color w:val="000000"/>
                <w:sz w:val="22"/>
                <w:szCs w:val="22"/>
              </w:rPr>
              <w:t xml:space="preserve"> przeprowadzonej w odniesieniu do typów działań określonych dla każdego celu szczegółowego w ramach priorytetów Programu. </w:t>
            </w:r>
          </w:p>
          <w:p w14:paraId="3522E612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6E11CEE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631BF5">
              <w:rPr>
                <w:rFonts w:cstheme="minorHAnsi"/>
                <w:color w:val="000000"/>
                <w:sz w:val="22"/>
                <w:szCs w:val="22"/>
              </w:rPr>
              <w:t xml:space="preserve">W przypadku gdy w analizie odpowiedź na zadane pytanie w kontekście wpływu danego typu inwestycji na realizację każdego ze zdefiniowanych celów środowiskowych brzmi „Nie” oznacza to zgodność z zasadą DNSH. Szczególną uwagę należy zwrócić na ewentualną możliwość wystąpienia w projekcie działań inwestycyjnych (cross-financing). </w:t>
            </w:r>
          </w:p>
          <w:p w14:paraId="551F8883" w14:textId="77777777" w:rsidR="00631BF5" w:rsidRP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D185325" w14:textId="77777777" w:rsidR="00631BF5" w:rsidRDefault="00631BF5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631BF5">
              <w:rPr>
                <w:rFonts w:cstheme="minorHAnsi"/>
                <w:color w:val="000000"/>
                <w:sz w:val="22"/>
                <w:szCs w:val="22"/>
              </w:rPr>
              <w:t xml:space="preserve">Zgodność z ww. zasadą na etapie oceny wniosku należy rozumieć jako brak sprzeczności pomiędzy zapisami projektu a wymogami tego dokumentu lub </w:t>
            </w:r>
            <w:r w:rsidRPr="00631BF5">
              <w:rPr>
                <w:rFonts w:cstheme="minorHAnsi"/>
                <w:color w:val="000000"/>
                <w:sz w:val="22"/>
                <w:szCs w:val="22"/>
              </w:rPr>
              <w:lastRenderedPageBreak/>
              <w:t>stwierdzenie, że te wymagania są neutralne wobec zakresu i zawartości projektu.</w:t>
            </w:r>
          </w:p>
          <w:p w14:paraId="4AC4C29F" w14:textId="77777777" w:rsidR="00A26DEE" w:rsidRDefault="00A26DEE" w:rsidP="00631BF5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51FF27B6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4A343FD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5C4F051" w14:textId="467416B4" w:rsidR="00A26DEE" w:rsidRPr="00631BF5" w:rsidRDefault="00A26DEE" w:rsidP="00A26DEE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zakresie zgodności projektu z 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5F442E63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right="142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5B4796F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7A37FA1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631BF5" w:rsidRPr="00631BF5" w14:paraId="1299CEBD" w14:textId="77777777" w:rsidTr="00A539EA">
        <w:tc>
          <w:tcPr>
            <w:tcW w:w="537" w:type="dxa"/>
            <w:shd w:val="clear" w:color="auto" w:fill="FFFFFF" w:themeFill="background1"/>
          </w:tcPr>
          <w:p w14:paraId="63203DBF" w14:textId="77777777" w:rsidR="00631BF5" w:rsidRPr="00631BF5" w:rsidRDefault="00631BF5" w:rsidP="00631BF5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66EDB88D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Wnioskodawca, zgodnie ze Szczegółowym Opisem Priorytetów (SZOP FEWiM 2021-2027) aktualnym na dzień ogłoszenia naboru i Regulaminem wyboru projektów, jest podmiotem uprawnionym do ubiegania się o dofinansowanie w ramach właściwego Działania FEWiM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48CDF634" w14:textId="4A084A28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ramach kryterium oceniana będzie zgodność Wnioskodawcy z typem beneficjenta wskazanym w  SZOP FEWiM 2021-2027 (aktualnym na dzień ogłoszenia naboru) w ramach właściwego Działania FEWiM 2021-2027 oraz Regulaminem wyboru projektu strategicznego.</w:t>
            </w:r>
          </w:p>
          <w:p w14:paraId="3B11B87F" w14:textId="77777777" w:rsidR="00A26DEE" w:rsidRPr="00631BF5" w:rsidRDefault="00A26DEE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6B01D5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Instytucja organizująca nabór może w Regulaminie wyboru projektu strategicznego zawęzić  typ beneficjenta wskazany w SZOP FEWiM 2021-2027 w ramach Działania FEWiM 2021-2027.</w:t>
            </w:r>
          </w:p>
          <w:p w14:paraId="44321328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A902E8" w14:textId="77777777" w:rsidR="00A26DEE" w:rsidRPr="00B00D79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1FE16A2E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25B32FC5" w14:textId="77777777" w:rsidR="00A26DEE" w:rsidRDefault="00A26DEE" w:rsidP="00A26DE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015CA02" w14:textId="663C4FDD" w:rsidR="00631BF5" w:rsidRPr="00631BF5" w:rsidRDefault="00A26DEE" w:rsidP="00A26DE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6EF39ED1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320ADF1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7BDAD52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2AF1A8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996A8F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12AD3301" w14:textId="77777777" w:rsidTr="00A539EA">
        <w:tc>
          <w:tcPr>
            <w:tcW w:w="537" w:type="dxa"/>
            <w:shd w:val="clear" w:color="auto" w:fill="FFFFFF" w:themeFill="background1"/>
          </w:tcPr>
          <w:p w14:paraId="319CD385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375" w:type="dxa"/>
            <w:shd w:val="clear" w:color="auto" w:fill="FFFFFF" w:themeFill="background1"/>
          </w:tcPr>
          <w:p w14:paraId="686B6B42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projekcie, którego łączny koszt wyrażony w PLN przekracza równowartość 200 000,00 EUR, koszty bezpośrednie rozliczane są  obligatoryjnie na podstawie rzeczywiście poniesionych wydatków, o których mowa w Regulaminie wyboru projektów.</w:t>
            </w:r>
          </w:p>
        </w:tc>
        <w:tc>
          <w:tcPr>
            <w:tcW w:w="5148" w:type="dxa"/>
            <w:shd w:val="clear" w:color="auto" w:fill="FFFFFF" w:themeFill="background1"/>
          </w:tcPr>
          <w:p w14:paraId="7BFEA9ED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 ramach kryterium oceniane będzie czy w projekcie, którego łączny koszt wyrażony w PLN przekracza równowartość 200 000,00 EUR, koszty bezpośrednie rozliczane są  obligatoryjnie na podstawie rzeczywiście poniesionych wydatków. </w:t>
            </w:r>
          </w:p>
          <w:p w14:paraId="73C9D8F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955CEA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Wyjątek stanowią projekty, w których zgodnie z Regulaminem wyboru projektu strategicznego zastosowanie stawek jednostkowych dla określonych kategorii kosztów bezpośrednich jest obligatoryjne.</w:t>
            </w:r>
          </w:p>
          <w:p w14:paraId="7A1A471C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3244AC" w14:textId="77777777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27B891ED" w14:textId="77777777" w:rsidR="00516763" w:rsidRDefault="00516763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BF1487" w14:textId="77777777" w:rsidR="00516763" w:rsidRPr="00B00D79" w:rsidRDefault="00516763" w:rsidP="0051676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11B626DD" w14:textId="73FFD352" w:rsidR="00516763" w:rsidRDefault="00516763" w:rsidP="0051676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rzeczywiście poniesione”.</w:t>
            </w:r>
          </w:p>
          <w:p w14:paraId="385AD93D" w14:textId="77777777" w:rsidR="000E1240" w:rsidRDefault="000E1240" w:rsidP="0051676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D26EFA9" w14:textId="2AC79110" w:rsidR="000E1240" w:rsidRPr="00516763" w:rsidRDefault="000E1240" w:rsidP="0051676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39C51537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8CBAB42" w14:textId="77777777" w:rsidR="00631BF5" w:rsidRPr="00631BF5" w:rsidRDefault="00631BF5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1875D95F" w14:textId="77777777" w:rsidR="00631BF5" w:rsidRPr="00631BF5" w:rsidRDefault="00631BF5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C20D58B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0A8E1BF9" w14:textId="77777777" w:rsidTr="00A539EA">
        <w:tc>
          <w:tcPr>
            <w:tcW w:w="537" w:type="dxa"/>
            <w:shd w:val="clear" w:color="auto" w:fill="FFFFFF" w:themeFill="background1"/>
          </w:tcPr>
          <w:p w14:paraId="198A6A6F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375" w:type="dxa"/>
            <w:shd w:val="clear" w:color="auto" w:fill="FFFFFF" w:themeFill="background1"/>
          </w:tcPr>
          <w:p w14:paraId="6E21D939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jest zgodny ze Szczegółowym Opisem Priorytetów (SZOP FEWiM 2021-2027), aktualnym na dzień ogłoszenia naboru, w ramach właściwego Działania FEWiM 2021-2027, w zakresie podstawowych warunków wsparcia (w zakresie dotyczącym projektu strategicznego).</w:t>
            </w:r>
          </w:p>
        </w:tc>
        <w:tc>
          <w:tcPr>
            <w:tcW w:w="5148" w:type="dxa"/>
            <w:shd w:val="clear" w:color="auto" w:fill="FFFFFF" w:themeFill="background1"/>
          </w:tcPr>
          <w:p w14:paraId="239742B0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ramach kryterium oceniana będzie zgodność projektu z zapisami dotyczącymi podstawowych warunków wsparcia w SZOP FEWiM 2021-2027 (aktualnym na dzień ogłoszenia naboru), w ramach właściwego Działania FEWiM 2021-2027.</w:t>
            </w:r>
          </w:p>
          <w:p w14:paraId="7CE631D3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6126E54" w14:textId="77777777" w:rsidR="00631BF5" w:rsidRPr="00631BF5" w:rsidRDefault="00631BF5" w:rsidP="00631BF5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631BF5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UWAGA! </w:t>
            </w:r>
            <w:r w:rsidRPr="00A26DE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P</w:t>
            </w:r>
            <w:r w:rsidRPr="00631BF5">
              <w:rPr>
                <w:rFonts w:cstheme="minorHAnsi"/>
                <w:b/>
                <w:bCs/>
                <w:sz w:val="22"/>
                <w:szCs w:val="22"/>
              </w:rPr>
              <w:t>odstawowe warunki wsparcia dla projektu wybieranego w sposób niekonkurencyjny to:</w:t>
            </w:r>
          </w:p>
          <w:p w14:paraId="2C1F5DF7" w14:textId="77777777" w:rsidR="00631BF5" w:rsidRPr="00631BF5" w:rsidRDefault="00631BF5" w:rsidP="00631BF5">
            <w:pPr>
              <w:numPr>
                <w:ilvl w:val="0"/>
                <w:numId w:val="31"/>
              </w:numPr>
              <w:spacing w:before="0" w:line="276" w:lineRule="auto"/>
              <w:ind w:left="459" w:hanging="283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Zgodność ze Zintegrowaną Strategią Umiejętności 2030 (ZSU 2030) w zakresie kształtowania kompetencji kluczowych oraz umiejętności podstawowych i przekrojowych;</w:t>
            </w:r>
          </w:p>
          <w:p w14:paraId="4A649137" w14:textId="77777777" w:rsidR="00631BF5" w:rsidRPr="00631BF5" w:rsidRDefault="00631BF5" w:rsidP="00631BF5">
            <w:pPr>
              <w:numPr>
                <w:ilvl w:val="0"/>
                <w:numId w:val="31"/>
              </w:numPr>
              <w:spacing w:before="0" w:line="276" w:lineRule="auto"/>
              <w:ind w:left="459" w:hanging="283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Zgodność z </w:t>
            </w:r>
            <w:r w:rsidRPr="00631BF5">
              <w:rPr>
                <w:rFonts w:cstheme="minorHAnsi"/>
                <w:i/>
                <w:sz w:val="22"/>
                <w:szCs w:val="22"/>
              </w:rPr>
              <w:t>Wytycznymi dotyczącymi realizacji projektów z udziałem środków Europejskiego Funduszu Społecznego Plus w regionalnych programach operacyjnych na lata 2021-2027</w:t>
            </w:r>
            <w:r w:rsidRPr="00631BF5">
              <w:rPr>
                <w:rFonts w:cstheme="minorHAnsi"/>
                <w:sz w:val="22"/>
                <w:szCs w:val="22"/>
              </w:rPr>
              <w:t xml:space="preserve"> – w obszarze zasad dotyczących wsparcia w ramach CS F w zakresie wsparcia placówek systemu oświaty, ich uczniów i kadry oraz wsparcia placówek systemu oświaty w zakresie prowadzenia edukacji włączającej;</w:t>
            </w:r>
          </w:p>
          <w:p w14:paraId="0F23C592" w14:textId="77777777" w:rsidR="00631BF5" w:rsidRPr="00631BF5" w:rsidRDefault="00631BF5" w:rsidP="00631BF5">
            <w:pPr>
              <w:numPr>
                <w:ilvl w:val="0"/>
                <w:numId w:val="31"/>
              </w:numPr>
              <w:spacing w:before="0" w:line="276" w:lineRule="auto"/>
              <w:ind w:left="459" w:hanging="283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Działania zaplanowane w projekcie nie mogą powielać działań zaplanowanych na poziomie krajowym;</w:t>
            </w:r>
          </w:p>
          <w:p w14:paraId="6A5F3CAA" w14:textId="77777777" w:rsidR="00631BF5" w:rsidRPr="00631BF5" w:rsidRDefault="00631BF5" w:rsidP="00631BF5">
            <w:pPr>
              <w:numPr>
                <w:ilvl w:val="0"/>
                <w:numId w:val="31"/>
              </w:numPr>
              <w:spacing w:before="0" w:line="276" w:lineRule="auto"/>
              <w:ind w:left="459" w:hanging="283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musi zawierać działania na rzecz edukacji finansowej dla uczniów;</w:t>
            </w:r>
          </w:p>
          <w:p w14:paraId="62A742A9" w14:textId="77777777" w:rsidR="00631BF5" w:rsidRPr="00631BF5" w:rsidRDefault="00631BF5" w:rsidP="00631BF5">
            <w:pPr>
              <w:numPr>
                <w:ilvl w:val="0"/>
                <w:numId w:val="31"/>
              </w:numPr>
              <w:spacing w:before="0"/>
              <w:ind w:left="459" w:hanging="283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musi zawierać działania uwzględniające budowanie postaw proekologicznych.</w:t>
            </w:r>
          </w:p>
          <w:p w14:paraId="45B545BB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40E5D5" w14:textId="03CF4D6D" w:rsidR="000E1240" w:rsidRPr="00631BF5" w:rsidRDefault="000E1240" w:rsidP="00631BF5">
            <w:pPr>
              <w:spacing w:before="0" w:after="100"/>
              <w:rPr>
                <w:rFonts w:cstheme="minorHAnsi"/>
                <w:strike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Kryterium będzie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ogólne zerojedynkowe nr 11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równoznaczny ze złożeniem oświadczenia o </w:t>
            </w:r>
            <w:r>
              <w:rPr>
                <w:rFonts w:cstheme="minorHAnsi"/>
                <w:color w:val="000000"/>
                <w:sz w:val="22"/>
                <w:szCs w:val="22"/>
              </w:rPr>
              <w:t>spełnieniu podstawowych warunków wsparcia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12BE007C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right="142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E25624D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38E1DE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03DB678" w14:textId="77777777" w:rsidR="00631BF5" w:rsidRPr="00631BF5" w:rsidRDefault="00631BF5" w:rsidP="00631BF5">
            <w:pPr>
              <w:spacing w:before="0"/>
              <w:rPr>
                <w:rFonts w:cstheme="minorHAnsi"/>
                <w:strike/>
                <w:sz w:val="22"/>
                <w:szCs w:val="22"/>
              </w:rPr>
            </w:pPr>
          </w:p>
        </w:tc>
      </w:tr>
      <w:tr w:rsidR="00631BF5" w:rsidRPr="00631BF5" w14:paraId="57F5EBA6" w14:textId="77777777" w:rsidTr="00A539EA">
        <w:tc>
          <w:tcPr>
            <w:tcW w:w="537" w:type="dxa"/>
            <w:shd w:val="clear" w:color="auto" w:fill="FFFFFF" w:themeFill="background1"/>
          </w:tcPr>
          <w:p w14:paraId="08D3D509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375" w:type="dxa"/>
            <w:shd w:val="clear" w:color="auto" w:fill="FFFFFF" w:themeFill="background1"/>
          </w:tcPr>
          <w:p w14:paraId="41A068E0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41E43277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ramach kryterium oceniane będzie czy w przypadku projektu partnerskiego spełnione zostały wymogi dotyczące:</w:t>
            </w:r>
          </w:p>
          <w:p w14:paraId="6A70D7F1" w14:textId="77777777" w:rsidR="00631BF5" w:rsidRPr="00631BF5" w:rsidRDefault="00631BF5" w:rsidP="00631BF5">
            <w:pPr>
              <w:numPr>
                <w:ilvl w:val="1"/>
                <w:numId w:val="5"/>
              </w:numPr>
              <w:ind w:left="342" w:hanging="284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wyboru Partnerów, o których mowa w art. 39 ustawy z dnia 28 kwietnia 2022 r. o zasadach realizacji zadań finansowanych ze środków europejskich w perspektywie finansowej 2021–2027 (dalej: ustawa wdrożeniowa)  (o ile dotyczy); </w:t>
            </w:r>
          </w:p>
          <w:p w14:paraId="06193B28" w14:textId="77777777" w:rsidR="00631BF5" w:rsidRPr="00631BF5" w:rsidRDefault="00631BF5" w:rsidP="00631BF5">
            <w:pPr>
              <w:numPr>
                <w:ilvl w:val="1"/>
                <w:numId w:val="5"/>
              </w:numPr>
              <w:ind w:left="342" w:hanging="284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utworzenia albo zainicjowania partnerstwa w terminie wynikającym z art. 39 ust. 4 ustawy wdrożeniowej(o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10FF11A6" w14:textId="77777777" w:rsidR="00631BF5" w:rsidRPr="00631BF5" w:rsidRDefault="00631BF5" w:rsidP="00631BF5">
            <w:pPr>
              <w:numPr>
                <w:ilvl w:val="1"/>
                <w:numId w:val="5"/>
              </w:numPr>
              <w:ind w:left="342" w:hanging="284"/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2454D5EA" w14:textId="77777777" w:rsidR="00631BF5" w:rsidRPr="00631BF5" w:rsidRDefault="00631BF5" w:rsidP="00631BF5">
            <w:pPr>
              <w:ind w:left="363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Partner wiodący (Wnioskodawca) musi wykazać obrót za wybrany jeden rok z trzech ostatnich zamkniętych i zatwierdzonych lat obrotowych. Ww. obrót uznaje się za wystarczający do prawidłowej realizacji projektu partnerskiego jeżeli:</w:t>
            </w:r>
          </w:p>
          <w:p w14:paraId="659F25DB" w14:textId="77777777" w:rsidR="00631BF5" w:rsidRPr="00631BF5" w:rsidRDefault="00631BF5" w:rsidP="00631BF5">
            <w:pPr>
              <w:ind w:left="58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a) w projektach trwających powyżej 12 miesięcy:</w:t>
            </w:r>
          </w:p>
          <w:p w14:paraId="257C3713" w14:textId="77777777" w:rsidR="00631BF5" w:rsidRPr="00631BF5" w:rsidRDefault="00631BF5" w:rsidP="00631BF5">
            <w:pPr>
              <w:ind w:left="58"/>
              <w:rPr>
                <w:rFonts w:cstheme="min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e>
                </m:d>
              </m:oMath>
            </m:oMathPara>
          </w:p>
          <w:p w14:paraId="295998B0" w14:textId="77777777" w:rsidR="00631BF5" w:rsidRPr="00631BF5" w:rsidRDefault="00631BF5" w:rsidP="00631BF5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6D436809" w14:textId="77777777" w:rsidR="00631BF5" w:rsidRPr="00631BF5" w:rsidRDefault="00631BF5" w:rsidP="00631BF5">
            <w:pPr>
              <w:ind w:left="58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Pr="00631BF5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4DFB01C7" w14:textId="77777777" w:rsidR="00631BF5" w:rsidRPr="00631BF5" w:rsidRDefault="00631BF5" w:rsidP="00631BF5">
            <w:pPr>
              <w:ind w:left="58"/>
              <w:rPr>
                <w:rFonts w:cstheme="minorHAnsi"/>
              </w:rPr>
            </w:pPr>
            <w:r w:rsidRPr="00631BF5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31800756" w14:textId="77777777" w:rsidR="00631BF5" w:rsidRPr="00631BF5" w:rsidRDefault="00631BF5" w:rsidP="00631BF5">
            <w:pPr>
              <w:ind w:left="58"/>
              <w:rPr>
                <w:rFonts w:cstheme="minorHAnsi"/>
                <w:b/>
                <w:bCs/>
              </w:rPr>
            </w:pPr>
          </w:p>
          <w:p w14:paraId="17A63221" w14:textId="77777777" w:rsidR="00631BF5" w:rsidRPr="00631BF5" w:rsidRDefault="00631BF5" w:rsidP="00631BF5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5DDDE531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24AE746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53B44099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1ED700" w14:textId="77777777" w:rsidR="00345148" w:rsidRPr="003A0396" w:rsidRDefault="00345148" w:rsidP="00345148">
            <w:pPr>
              <w:spacing w:before="0" w:after="12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A039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A0396">
              <w:rPr>
                <w:rFonts w:cstheme="minorHAnsi"/>
                <w:sz w:val="22"/>
                <w:szCs w:val="22"/>
              </w:rPr>
              <w:t xml:space="preserve">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zakresie:</w:t>
            </w:r>
          </w:p>
          <w:p w14:paraId="7E2AE64D" w14:textId="26ED0347" w:rsidR="00345148" w:rsidRPr="003A0396" w:rsidRDefault="00345148" w:rsidP="003451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 Kryterium ogólne zerojedynkowe nr 12”, gdzie Wnioskodawca zobowiązany jest odznaczyć check-box „TAK” oraz informacji pozyskanych przez KOP w trakcie dokonywania oceny.</w:t>
            </w:r>
          </w:p>
          <w:p w14:paraId="4ED206DE" w14:textId="77777777" w:rsidR="00345148" w:rsidRPr="003A0396" w:rsidRDefault="00345148" w:rsidP="0034514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51F1BBA" w14:textId="6A5E45E4" w:rsidR="00631BF5" w:rsidRPr="00631BF5" w:rsidRDefault="00345148" w:rsidP="0034514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treści wniosku o dofinansowanie projektu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557788DC" w14:textId="77777777" w:rsidR="00631BF5" w:rsidRPr="00631BF5" w:rsidRDefault="00631BF5" w:rsidP="00631BF5">
            <w:pPr>
              <w:keepNext/>
              <w:tabs>
                <w:tab w:val="left" w:pos="435"/>
              </w:tabs>
              <w:snapToGrid w:val="0"/>
              <w:spacing w:before="0"/>
              <w:ind w:right="142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5CA350A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61A7A9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5269CEDE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31F7A2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23028F83" w14:textId="77777777" w:rsidTr="00A539EA">
        <w:tc>
          <w:tcPr>
            <w:tcW w:w="537" w:type="dxa"/>
            <w:shd w:val="clear" w:color="auto" w:fill="FFFFFF" w:themeFill="background1"/>
          </w:tcPr>
          <w:p w14:paraId="105E2B6E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13.</w:t>
            </w:r>
          </w:p>
        </w:tc>
        <w:tc>
          <w:tcPr>
            <w:tcW w:w="4375" w:type="dxa"/>
            <w:shd w:val="clear" w:color="auto" w:fill="FFFFFF" w:themeFill="background1"/>
          </w:tcPr>
          <w:p w14:paraId="07B4D290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jest zgodny z zasadami pomocy publicznej lub pomocy de minimis 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3EFE893F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W ramach kryterium oceniane będzie czy projekt jest zgodny z zasadami przyznawania pomocy publicznej określonymi w rozporządzeniu Ministra Funduszy i Polityki Regionalnej w sprawie udzielania pomocy de minimis oraz pomocy publicznej w ramach programów finansowanych z Europejskiego Funduszu Społecznego Plus na lata 2021-2027.</w:t>
            </w:r>
          </w:p>
          <w:p w14:paraId="45E412CC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EE99E8B" w14:textId="77777777" w:rsid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minimis oraz czy w projekcie występuje pomoc publiczna/ pomoc de minimis. </w:t>
            </w:r>
          </w:p>
          <w:p w14:paraId="04B63604" w14:textId="77777777" w:rsidR="00345148" w:rsidRDefault="00345148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5522D3" w14:textId="77777777" w:rsidR="00345148" w:rsidRPr="00B00D79" w:rsidRDefault="00345148" w:rsidP="0034514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59B1FEF0" w14:textId="6E25C1A1" w:rsidR="00345148" w:rsidRPr="00631BF5" w:rsidRDefault="00345148" w:rsidP="0034514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Uzasadnienia wydatków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</w:t>
            </w:r>
            <w:r w:rsidRPr="003C1633">
              <w:rPr>
                <w:rFonts w:cstheme="minorHAnsi"/>
                <w:b/>
                <w:bCs/>
                <w:sz w:val="22"/>
                <w:szCs w:val="22"/>
              </w:rPr>
              <w:t>Sposób wyliczenia wartości wydatków objętych pomocą publiczną (w tym wnoszonego wkładu własnego) oraz pomocą de minimis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862DB1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C8E2D6F" w14:textId="77777777" w:rsidR="00631BF5" w:rsidRPr="00631BF5" w:rsidRDefault="00631BF5" w:rsidP="00631BF5">
            <w:pPr>
              <w:keepNext/>
              <w:widowControl w:val="0"/>
              <w:tabs>
                <w:tab w:val="left" w:pos="435"/>
              </w:tabs>
              <w:snapToGrid w:val="0"/>
              <w:spacing w:before="0"/>
              <w:jc w:val="both"/>
              <w:rPr>
                <w:rFonts w:eastAsia="Times New Roman" w:cstheme="minorHAnsi"/>
                <w:sz w:val="22"/>
                <w:szCs w:val="22"/>
              </w:rPr>
            </w:pPr>
            <w:r w:rsidRPr="00631BF5">
              <w:rPr>
                <w:rFonts w:eastAsia="Times New Roman" w:cstheme="minorHAnsi"/>
                <w:bCs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571B28D" w14:textId="77777777" w:rsidR="00631BF5" w:rsidRPr="00631BF5" w:rsidRDefault="00631BF5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45DB79AE" w14:textId="77777777" w:rsidR="00631BF5" w:rsidRPr="00631BF5" w:rsidRDefault="00631BF5" w:rsidP="00631BF5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0FD7D35E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D477BE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3448661D" w14:textId="77777777" w:rsidR="00631BF5" w:rsidRPr="00631BF5" w:rsidRDefault="00631BF5" w:rsidP="00631BF5">
      <w:pPr>
        <w:rPr>
          <w:rFonts w:cstheme="minorHAnsi"/>
        </w:rPr>
      </w:pPr>
      <w:r w:rsidRPr="00631BF5">
        <w:rPr>
          <w:rFonts w:cstheme="minorHAnsi"/>
        </w:rPr>
        <w:lastRenderedPageBreak/>
        <w:br w:type="page"/>
      </w:r>
    </w:p>
    <w:tbl>
      <w:tblPr>
        <w:tblStyle w:val="Tabela-Siatka"/>
        <w:tblpPr w:leftFromText="141" w:rightFromText="141" w:horzAnchor="margin" w:tblpY="615"/>
        <w:tblW w:w="1402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276"/>
        <w:gridCol w:w="5103"/>
        <w:gridCol w:w="4111"/>
      </w:tblGrid>
      <w:tr w:rsidR="00631BF5" w:rsidRPr="00631BF5" w14:paraId="30708D3E" w14:textId="77777777" w:rsidTr="00030A3A">
        <w:trPr>
          <w:trHeight w:val="454"/>
        </w:trPr>
        <w:tc>
          <w:tcPr>
            <w:tcW w:w="14029" w:type="dxa"/>
            <w:gridSpan w:val="4"/>
            <w:shd w:val="clear" w:color="auto" w:fill="F2F2F2" w:themeFill="background1" w:themeFillShade="F2"/>
            <w:vAlign w:val="center"/>
          </w:tcPr>
          <w:p w14:paraId="588231FD" w14:textId="77777777" w:rsidR="00631BF5" w:rsidRPr="00631BF5" w:rsidRDefault="00631BF5" w:rsidP="00631BF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bookmarkStart w:id="0" w:name="_Hlk137807840"/>
            <w:r w:rsidRPr="00631BF5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  <w:r w:rsidRPr="00631BF5">
              <w:rPr>
                <w:rFonts w:cstheme="minorHAnsi"/>
                <w:b/>
                <w:sz w:val="22"/>
                <w:szCs w:val="22"/>
                <w:vertAlign w:val="superscript"/>
              </w:rPr>
              <w:footnoteReference w:id="2"/>
            </w:r>
          </w:p>
          <w:p w14:paraId="15C48D61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631BF5" w:rsidRPr="00631BF5" w14:paraId="12BB640C" w14:textId="77777777" w:rsidTr="00030A3A">
        <w:trPr>
          <w:trHeight w:val="199"/>
        </w:trPr>
        <w:tc>
          <w:tcPr>
            <w:tcW w:w="539" w:type="dxa"/>
            <w:shd w:val="clear" w:color="auto" w:fill="FFFFFF" w:themeFill="background1"/>
            <w:vAlign w:val="center"/>
          </w:tcPr>
          <w:p w14:paraId="68E7568B" w14:textId="77777777" w:rsidR="00631BF5" w:rsidRPr="00631BF5" w:rsidRDefault="00631BF5" w:rsidP="00631BF5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276" w:type="dxa"/>
            <w:shd w:val="clear" w:color="auto" w:fill="FFFFFF" w:themeFill="background1"/>
            <w:vAlign w:val="center"/>
          </w:tcPr>
          <w:p w14:paraId="0DEFF63B" w14:textId="77777777" w:rsidR="00631BF5" w:rsidRPr="00631BF5" w:rsidRDefault="00631BF5" w:rsidP="00631BF5">
            <w:pPr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9C5DFD8" w14:textId="77777777" w:rsidR="00631BF5" w:rsidRPr="00631BF5" w:rsidRDefault="00631BF5" w:rsidP="00631BF5">
            <w:pPr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472933F7" w14:textId="77777777" w:rsidR="00631BF5" w:rsidRPr="00631BF5" w:rsidRDefault="00631BF5" w:rsidP="00631BF5">
            <w:pPr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631BF5" w:rsidRPr="00631BF5" w14:paraId="6B0FB4E6" w14:textId="77777777" w:rsidTr="00030A3A">
        <w:tc>
          <w:tcPr>
            <w:tcW w:w="539" w:type="dxa"/>
            <w:shd w:val="clear" w:color="auto" w:fill="FFFFFF" w:themeFill="background1"/>
          </w:tcPr>
          <w:p w14:paraId="39F9E79E" w14:textId="77777777" w:rsidR="00631BF5" w:rsidRPr="00631BF5" w:rsidRDefault="00631BF5" w:rsidP="00631BF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276" w:type="dxa"/>
            <w:shd w:val="clear" w:color="auto" w:fill="FFFFFF" w:themeFill="background1"/>
          </w:tcPr>
          <w:p w14:paraId="43376846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03" w:type="dxa"/>
            <w:shd w:val="clear" w:color="auto" w:fill="FFFFFF" w:themeFill="background1"/>
          </w:tcPr>
          <w:p w14:paraId="3FA81108" w14:textId="77777777" w:rsidR="00631BF5" w:rsidRPr="00631BF5" w:rsidRDefault="00631BF5" w:rsidP="00631BF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oceniana będzie prawidłowość opisu grupy docelowej zgodnej z SZOP </w:t>
            </w:r>
            <w:r w:rsidRPr="00631BF5">
              <w:rPr>
                <w:rFonts w:cstheme="minorHAnsi"/>
                <w:sz w:val="22"/>
                <w:szCs w:val="22"/>
              </w:rPr>
              <w:t>FEWiM 2021-2027  (aktualnym na dzień ogłoszenia naboru)  i Regulaminem wyboru projektów</w:t>
            </w:r>
            <w:r w:rsidRPr="00631BF5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2DA24450" w14:textId="77777777" w:rsidR="00631BF5" w:rsidRPr="00631BF5" w:rsidRDefault="00631BF5" w:rsidP="00631BF5">
            <w:pPr>
              <w:numPr>
                <w:ilvl w:val="0"/>
                <w:numId w:val="10"/>
              </w:numPr>
              <w:spacing w:before="0"/>
              <w:ind w:left="200" w:hanging="142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uzasadnienie wyboru grupy docelowej w kontekście zdiagnozowanej sytuacji problemowej i barier uczestnictwa,  </w:t>
            </w:r>
          </w:p>
          <w:p w14:paraId="452373D3" w14:textId="77777777" w:rsidR="00631BF5" w:rsidRPr="00631BF5" w:rsidRDefault="00631BF5" w:rsidP="00631BF5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7C1F396B" w14:textId="77777777" w:rsidR="00631BF5" w:rsidRPr="00631BF5" w:rsidRDefault="00631BF5" w:rsidP="00631BF5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54EAC0EB" w14:textId="77777777" w:rsidR="00631BF5" w:rsidRPr="00631BF5" w:rsidRDefault="00631BF5" w:rsidP="00631BF5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4CF7EBBC" w14:textId="77777777" w:rsidR="00631BF5" w:rsidRPr="00631BF5" w:rsidRDefault="00631BF5" w:rsidP="00631BF5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Instytucja Organizująca Nabór może w Regulaminie wyboru projektu strategicznego doprecyzować grupę docelową wskazaną w SZOP FEWiM 2021-2027.</w:t>
            </w:r>
          </w:p>
          <w:p w14:paraId="5E1B6882" w14:textId="77777777" w:rsidR="00631BF5" w:rsidRPr="00631BF5" w:rsidRDefault="00631BF5" w:rsidP="00631BF5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E8EF96F" w14:textId="77777777" w:rsidR="00631BF5" w:rsidRDefault="00631BF5" w:rsidP="00030A3A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projektu strategicznego (wraz z załącznikami, w tym Instrukcją merytoryczną wypełniania wniosku o dofinansowanie projektu </w:t>
            </w:r>
            <w:r w:rsidRPr="00631BF5">
              <w:rPr>
                <w:rFonts w:eastAsia="Calibri" w:cstheme="minorHAnsi"/>
                <w:sz w:val="22"/>
                <w:szCs w:val="22"/>
              </w:rPr>
              <w:lastRenderedPageBreak/>
              <w:t>współfinansowanego z EFS+ w ramach Programu Fundusze Europejskie dla Warmii i Mazur 2021-2027).</w:t>
            </w:r>
          </w:p>
          <w:p w14:paraId="4564EB2B" w14:textId="77777777" w:rsidR="00345148" w:rsidRDefault="00345148" w:rsidP="00030A3A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797F696E" w14:textId="7E956A83" w:rsidR="00345148" w:rsidRPr="003A0396" w:rsidRDefault="00345148" w:rsidP="003A0396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27FCA669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288D0F4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C4ED11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1EC78982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7F2FC18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BE0393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  <w:highlight w:val="yellow"/>
              </w:rPr>
            </w:pPr>
          </w:p>
          <w:p w14:paraId="679C1CF4" w14:textId="77777777" w:rsidR="00631BF5" w:rsidRPr="00631BF5" w:rsidRDefault="00631BF5" w:rsidP="00631BF5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45F33212" w14:textId="77777777" w:rsidTr="00030A3A">
        <w:tc>
          <w:tcPr>
            <w:tcW w:w="539" w:type="dxa"/>
            <w:shd w:val="clear" w:color="auto" w:fill="FFFFFF" w:themeFill="background1"/>
          </w:tcPr>
          <w:p w14:paraId="07FED7E4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bookmarkStart w:id="1" w:name="_Hlk137807909"/>
            <w:bookmarkEnd w:id="0"/>
            <w:r w:rsidRPr="00631BF5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276" w:type="dxa"/>
            <w:shd w:val="clear" w:color="auto" w:fill="FFFFFF" w:themeFill="background1"/>
          </w:tcPr>
          <w:p w14:paraId="56ACFDF3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Zgodność celu projektu z celem szczegółowym wskazanym w SZOP FEWiM 2021-2027 (aktualnym na dzień ogłoszenia naboru) dla danego Działania oraz adekwatność doboru i opisu wskaźników, źródeł oraz sposobu ich pomiaru.</w:t>
            </w:r>
          </w:p>
        </w:tc>
        <w:tc>
          <w:tcPr>
            <w:tcW w:w="5103" w:type="dxa"/>
            <w:shd w:val="clear" w:color="auto" w:fill="FFFFFF" w:themeFill="background1"/>
          </w:tcPr>
          <w:p w14:paraId="45972EFD" w14:textId="77777777" w:rsidR="00131603" w:rsidRPr="00631BF5" w:rsidRDefault="00131603" w:rsidP="00A539EA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oceniana będzie zgodność celu projektu z celem szczegółowym wskazanym w SZOP FEWiM 2021-2027 (aktualnym na dzień ogłoszenia naboru) dla danego Działania </w:t>
            </w:r>
            <w:r w:rsidRPr="00631BF5">
              <w:rPr>
                <w:rFonts w:eastAsia="Calibri" w:cstheme="minorHAnsi"/>
                <w:sz w:val="22"/>
                <w:szCs w:val="22"/>
              </w:rPr>
              <w:br/>
              <w:t>i Regulaminem wyboru projektu strategicznego oraz adekwatność doboru wskaźników oraz sposobu ich pomiaru, w tym:</w:t>
            </w:r>
          </w:p>
          <w:p w14:paraId="53F28656" w14:textId="77777777" w:rsidR="00131603" w:rsidRPr="00631BF5" w:rsidRDefault="00131603" w:rsidP="00A539EA">
            <w:pPr>
              <w:numPr>
                <w:ilvl w:val="0"/>
                <w:numId w:val="13"/>
              </w:numPr>
              <w:spacing w:before="0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631BF5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A1876B3" w14:textId="77777777" w:rsidR="00131603" w:rsidRPr="00631BF5" w:rsidRDefault="00131603" w:rsidP="00A539EA">
            <w:pPr>
              <w:numPr>
                <w:ilvl w:val="0"/>
                <w:numId w:val="13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dobór  wskaźników realizacji celu, (wskaźników rezultatu, produktu, w tym innych wspólnych wskaźników produktu) </w:t>
            </w:r>
            <w:r w:rsidRPr="00631BF5">
              <w:rPr>
                <w:rFonts w:eastAsia="Calibri" w:cstheme="minorHAnsi"/>
                <w:sz w:val="22"/>
                <w:szCs w:val="22"/>
              </w:rPr>
              <w:br/>
              <w:t xml:space="preserve">oraz odpowiednie oszacowanie wartości docelowej wskaźników, </w:t>
            </w:r>
          </w:p>
          <w:p w14:paraId="378E6242" w14:textId="77777777" w:rsidR="00131603" w:rsidRPr="00631BF5" w:rsidRDefault="00131603" w:rsidP="00A539EA">
            <w:pPr>
              <w:numPr>
                <w:ilvl w:val="0"/>
                <w:numId w:val="13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wskazanie sposobu pomiaru wskaźników, w tym źródeł danych (dokumentów) </w:t>
            </w:r>
            <w:r w:rsidRPr="00631BF5">
              <w:rPr>
                <w:rFonts w:eastAsia="Calibri" w:cstheme="minorHAnsi"/>
                <w:sz w:val="22"/>
                <w:szCs w:val="22"/>
              </w:rPr>
              <w:br/>
              <w:t>i momentu (częstotliwości) pomiaru.</w:t>
            </w:r>
            <w:r w:rsidRPr="00631BF5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6C5C3E6A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9D34A71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Instytucja Organizująca Nabór może w Regulaminie wyboru projektu strategicznego zawęzić lub rozszerzyć katalog wskaźników w stosunku do wskazanych w SZOP FEWiM 2021-2027.</w:t>
            </w:r>
          </w:p>
          <w:p w14:paraId="29DB941D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67A9A13" w14:textId="77777777" w:rsidR="00131603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</w:t>
            </w:r>
          </w:p>
          <w:p w14:paraId="607DC9E3" w14:textId="77777777" w:rsidR="00332139" w:rsidRDefault="00332139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7CDE5D0" w14:textId="1B5926A7" w:rsidR="00332139" w:rsidRPr="003A0396" w:rsidRDefault="00332139" w:rsidP="00332139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 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60F64F20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46746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CCEA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00C1268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CEFC9B6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19F53A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CE19A90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3A1535E3" w14:textId="77777777" w:rsidTr="00030A3A">
        <w:tc>
          <w:tcPr>
            <w:tcW w:w="539" w:type="dxa"/>
            <w:shd w:val="clear" w:color="auto" w:fill="FFFFFF" w:themeFill="background1"/>
          </w:tcPr>
          <w:p w14:paraId="1DD4B961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276" w:type="dxa"/>
            <w:shd w:val="clear" w:color="auto" w:fill="FFFFFF" w:themeFill="background1"/>
          </w:tcPr>
          <w:p w14:paraId="04D873BE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5103" w:type="dxa"/>
            <w:shd w:val="clear" w:color="auto" w:fill="FFFFFF" w:themeFill="background1"/>
          </w:tcPr>
          <w:p w14:paraId="7EDCE7A8" w14:textId="77777777" w:rsidR="00131603" w:rsidRPr="00631BF5" w:rsidRDefault="00131603" w:rsidP="00A539EA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oceniana będzie spójność zadań przewidzianych do realizacji w ramach projektu,  zgodnych z SZOP </w:t>
            </w:r>
            <w:r w:rsidRPr="00631BF5">
              <w:rPr>
                <w:rFonts w:cstheme="minorHAnsi"/>
                <w:sz w:val="22"/>
                <w:szCs w:val="22"/>
              </w:rPr>
              <w:t>FEWiM 2021-2027  (aktualnym na dzień ogłoszenia naboru)  i Regulaminem wyboru projektu strategicznego</w:t>
            </w:r>
            <w:r w:rsidRPr="00631BF5">
              <w:rPr>
                <w:rFonts w:eastAsia="Calibri" w:cstheme="minorHAnsi"/>
                <w:sz w:val="22"/>
                <w:szCs w:val="22"/>
              </w:rPr>
              <w:t xml:space="preserve"> oraz trafność doboru i opisu tych zadań, w tym: </w:t>
            </w:r>
          </w:p>
          <w:p w14:paraId="7BB01B9A" w14:textId="77777777" w:rsidR="00131603" w:rsidRPr="00631BF5" w:rsidRDefault="00131603" w:rsidP="00A539EA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2E1FE1A7" w14:textId="77777777" w:rsidR="00131603" w:rsidRPr="00631BF5" w:rsidRDefault="00131603" w:rsidP="00A539EA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racjonalność harmonogramu, </w:t>
            </w:r>
          </w:p>
          <w:p w14:paraId="18207D24" w14:textId="77777777" w:rsidR="00131603" w:rsidRPr="00631BF5" w:rsidRDefault="00131603" w:rsidP="00A539EA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631BF5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16D8DC5" w14:textId="77777777" w:rsidR="00131603" w:rsidRPr="00631BF5" w:rsidRDefault="00131603" w:rsidP="00A539EA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2E4812D" w14:textId="77777777" w:rsidR="00131603" w:rsidRPr="00631BF5" w:rsidRDefault="00131603" w:rsidP="00A539EA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i/lub stawek jednostkowych (w tym ich wartości docelowe) i dokumentów potwierdzających ich wykonanie (o ile dotyczy). </w:t>
            </w:r>
          </w:p>
          <w:p w14:paraId="233C878C" w14:textId="77777777" w:rsidR="00131603" w:rsidRPr="00631BF5" w:rsidRDefault="00131603" w:rsidP="00A539EA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6428C46C" w14:textId="77777777" w:rsidR="00131603" w:rsidRPr="00631BF5" w:rsidRDefault="00131603" w:rsidP="00A539EA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lastRenderedPageBreak/>
              <w:t>Instytucja Organizująca Nabór może w Regulaminie wyboru projektu strategicznego zawęzić typy projektów oraz dedykowane im działania w stosunku do wskazanych w SZOP FEWiM 2021-2027.</w:t>
            </w:r>
          </w:p>
          <w:p w14:paraId="0B0456C7" w14:textId="77777777" w:rsidR="00131603" w:rsidRPr="00631BF5" w:rsidRDefault="00131603" w:rsidP="00A539EA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0FD22F27" w14:textId="77777777" w:rsidR="00131603" w:rsidRDefault="00131603" w:rsidP="00A539EA">
            <w:pPr>
              <w:contextualSpacing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</w:t>
            </w:r>
          </w:p>
          <w:p w14:paraId="5B0FF3AE" w14:textId="77777777" w:rsidR="00175DA3" w:rsidRDefault="00175DA3" w:rsidP="00A539EA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70C08FFB" w14:textId="77777777" w:rsidR="00175DA3" w:rsidRPr="00B00D79" w:rsidRDefault="00175DA3" w:rsidP="00175DA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</w:p>
          <w:p w14:paraId="26608ED0" w14:textId="77777777" w:rsidR="00175DA3" w:rsidRDefault="00175DA3" w:rsidP="00175DA3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081C737" w14:textId="35EE3F6D" w:rsidR="00175DA3" w:rsidRPr="003A0396" w:rsidRDefault="00175DA3" w:rsidP="00175DA3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„Trwałość rezultatów projektu”, „Dokumenty potwierdzające wykonanie wskaźnika rozliczającego daną kwotę ryczałtową”.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4DC4684A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2E1BA86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8BD5FC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04101883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888FB14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31412AB4" w14:textId="77777777" w:rsidTr="00030A3A">
        <w:tc>
          <w:tcPr>
            <w:tcW w:w="539" w:type="dxa"/>
            <w:shd w:val="clear" w:color="auto" w:fill="FFFFFF" w:themeFill="background1"/>
          </w:tcPr>
          <w:p w14:paraId="5AC1169C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4. </w:t>
            </w:r>
          </w:p>
        </w:tc>
        <w:tc>
          <w:tcPr>
            <w:tcW w:w="4276" w:type="dxa"/>
            <w:shd w:val="clear" w:color="auto" w:fill="FFFFFF" w:themeFill="background1"/>
          </w:tcPr>
          <w:p w14:paraId="3C8D5403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5103" w:type="dxa"/>
            <w:shd w:val="clear" w:color="auto" w:fill="FFFFFF" w:themeFill="background1"/>
          </w:tcPr>
          <w:p w14:paraId="14DCBBCD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oceniana będzie prawidłowość budżetu projektu, w tym: </w:t>
            </w:r>
          </w:p>
          <w:p w14:paraId="731D709A" w14:textId="77777777" w:rsidR="00131603" w:rsidRPr="00631BF5" w:rsidRDefault="00131603" w:rsidP="00A539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racjonalność (zgodność ze stawkami rynkowymi i specyfiką projektu ) oraz efektywność wydatków projektu (zasada uzyskiwania najlepszych efektów z danych nakładów), </w:t>
            </w:r>
          </w:p>
          <w:p w14:paraId="4B75A893" w14:textId="77777777" w:rsidR="00131603" w:rsidRPr="00631BF5" w:rsidRDefault="00131603" w:rsidP="00A539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kwalifikowalność wydatków (</w:t>
            </w:r>
            <w:r w:rsidRPr="00631BF5">
              <w:rPr>
                <w:rFonts w:cstheme="minorHAnsi"/>
                <w:sz w:val="22"/>
                <w:szCs w:val="22"/>
              </w:rPr>
              <w:t>w tym w szczególności niezbędność wydatków do realizacji projektu i osiągania jego celu)</w:t>
            </w:r>
            <w:r w:rsidRPr="00631BF5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7BD0E724" w14:textId="77777777" w:rsidR="00131603" w:rsidRPr="00631BF5" w:rsidRDefault="00131603" w:rsidP="00A539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lastRenderedPageBreak/>
              <w:t xml:space="preserve">poprawność uzasadnień wydatków (o ile dotyczy), </w:t>
            </w:r>
          </w:p>
          <w:p w14:paraId="184044D2" w14:textId="77777777" w:rsidR="00131603" w:rsidRPr="00631BF5" w:rsidRDefault="00131603" w:rsidP="00A539E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techniczna poprawność wypełnienia budżetu projektu, w tym poziom kosztów pośrednich, poziom i prawidłowość wkładu własnego, poziom i prawidłowość cross-financingu (o ile dotyczy), pomoc publiczna/pomoc de minimis (o ile dotyczy). </w:t>
            </w:r>
          </w:p>
          <w:p w14:paraId="749CDFC3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78038232" w14:textId="77777777" w:rsidR="00131603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 </w:t>
            </w:r>
          </w:p>
          <w:p w14:paraId="4A6C31CC" w14:textId="77777777" w:rsidR="00175DA3" w:rsidRDefault="00175DA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trike/>
                <w:color w:val="FF0000"/>
                <w:sz w:val="22"/>
                <w:szCs w:val="22"/>
              </w:rPr>
            </w:pPr>
          </w:p>
          <w:p w14:paraId="7A0A4617" w14:textId="77777777" w:rsidR="00175DA3" w:rsidRDefault="00175DA3" w:rsidP="00175DA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772FD0BF" w14:textId="77777777" w:rsidR="00175DA3" w:rsidRDefault="00175DA3" w:rsidP="00175DA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414133E0" w14:textId="03059540" w:rsidR="00175DA3" w:rsidRPr="003A0396" w:rsidRDefault="00175DA3" w:rsidP="00175D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7D6FF1E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AA07A2B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97BADA6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Ocena spełniania kryterium polega na przypisaniu mu wartości logicznych „spełnia” lub „nie spełnia” co oznacza, że Wnioskodawca ma możliwość </w:t>
            </w:r>
            <w:r w:rsidRPr="00631BF5">
              <w:rPr>
                <w:rFonts w:cstheme="minorHAnsi"/>
                <w:sz w:val="22"/>
                <w:szCs w:val="22"/>
              </w:rPr>
              <w:lastRenderedPageBreak/>
              <w:t>uzupełnienia/ poprawy projektu w zakresie spełniania kryterium.</w:t>
            </w:r>
          </w:p>
          <w:p w14:paraId="68C16D9A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96A4E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08E3E517" w14:textId="77777777" w:rsidTr="00030A3A">
        <w:tc>
          <w:tcPr>
            <w:tcW w:w="539" w:type="dxa"/>
            <w:shd w:val="clear" w:color="auto" w:fill="FFFFFF" w:themeFill="background1"/>
          </w:tcPr>
          <w:p w14:paraId="2C100DBD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276" w:type="dxa"/>
            <w:shd w:val="clear" w:color="auto" w:fill="FFFFFF" w:themeFill="background1"/>
          </w:tcPr>
          <w:p w14:paraId="7EEBD70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5103" w:type="dxa"/>
            <w:shd w:val="clear" w:color="auto" w:fill="FFFFFF" w:themeFill="background1"/>
          </w:tcPr>
          <w:p w14:paraId="38A56A22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oceniane będą: </w:t>
            </w:r>
          </w:p>
          <w:p w14:paraId="3CE5698D" w14:textId="77777777" w:rsidR="00131603" w:rsidRPr="00631BF5" w:rsidRDefault="00131603" w:rsidP="00A539E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480F1FD6" w14:textId="77777777" w:rsidR="00131603" w:rsidRPr="00631BF5" w:rsidRDefault="00131603" w:rsidP="00A539E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opis i adekwatność potencjału społecznego Wnioskodawcy i Partnerów (o ile dotyczy). </w:t>
            </w:r>
          </w:p>
          <w:p w14:paraId="074537E0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99A9750" w14:textId="77777777" w:rsidR="00131603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</w:t>
            </w:r>
          </w:p>
          <w:p w14:paraId="72263E07" w14:textId="77777777" w:rsidR="00175DA3" w:rsidRDefault="00175DA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57D4BC5" w14:textId="4B42DD54" w:rsidR="00175DA3" w:rsidRPr="003A0396" w:rsidRDefault="00175DA3" w:rsidP="003A0396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32D06B4E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0B165A8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0959B1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Ocena spełniania kryterium polega na przypisaniu mu wartości logicznych „spełnia” lub „nie spełnia” co oznacza, że Wnioskodawca ma możliwość </w:t>
            </w:r>
            <w:r w:rsidRPr="00631BF5">
              <w:rPr>
                <w:rFonts w:cstheme="minorHAnsi"/>
                <w:sz w:val="22"/>
                <w:szCs w:val="22"/>
              </w:rPr>
              <w:lastRenderedPageBreak/>
              <w:t>uzupełnienia/ poprawy projektu w zakresie spełniania kryterium.</w:t>
            </w:r>
          </w:p>
          <w:p w14:paraId="766BE958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E3C374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0CDF95A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4C561999" w14:textId="77777777" w:rsidTr="00030A3A">
        <w:tc>
          <w:tcPr>
            <w:tcW w:w="539" w:type="dxa"/>
            <w:shd w:val="clear" w:color="auto" w:fill="FFFFFF" w:themeFill="background1"/>
          </w:tcPr>
          <w:p w14:paraId="29D84C58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 xml:space="preserve">6. </w:t>
            </w:r>
          </w:p>
        </w:tc>
        <w:tc>
          <w:tcPr>
            <w:tcW w:w="4276" w:type="dxa"/>
            <w:shd w:val="clear" w:color="auto" w:fill="FFFFFF" w:themeFill="background1"/>
          </w:tcPr>
          <w:p w14:paraId="69F58D2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0C35126C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5103" w:type="dxa"/>
            <w:shd w:val="clear" w:color="auto" w:fill="FFFFFF" w:themeFill="background1"/>
          </w:tcPr>
          <w:p w14:paraId="6B10795F" w14:textId="77777777" w:rsidR="00131603" w:rsidRPr="00631BF5" w:rsidRDefault="00131603" w:rsidP="00A539EA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W ramach kryterium oceniany będzie opis sposobu zarządzania projektem oraz adekwatność potencjału Wnioskodawcy i Partnerów (o ile dotyczy) do założeń projektu, w tym:</w:t>
            </w:r>
          </w:p>
          <w:p w14:paraId="720D1DEE" w14:textId="77777777" w:rsidR="00131603" w:rsidRPr="00631BF5" w:rsidRDefault="00131603" w:rsidP="00A539EA">
            <w:pPr>
              <w:numPr>
                <w:ilvl w:val="0"/>
                <w:numId w:val="21"/>
              </w:numPr>
              <w:spacing w:before="0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sposób zarządzania projektem, </w:t>
            </w:r>
          </w:p>
          <w:p w14:paraId="7C422D5E" w14:textId="77777777" w:rsidR="00131603" w:rsidRPr="00631BF5" w:rsidRDefault="00131603" w:rsidP="00A539EA">
            <w:pPr>
              <w:numPr>
                <w:ilvl w:val="0"/>
                <w:numId w:val="21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wkład rzeczowy, </w:t>
            </w:r>
          </w:p>
          <w:p w14:paraId="11D35D5F" w14:textId="77777777" w:rsidR="00131603" w:rsidRPr="00631BF5" w:rsidRDefault="00131603" w:rsidP="00A539EA">
            <w:pPr>
              <w:numPr>
                <w:ilvl w:val="0"/>
                <w:numId w:val="21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własne środki finansowe,</w:t>
            </w:r>
          </w:p>
          <w:p w14:paraId="74B1C07A" w14:textId="77777777" w:rsidR="00131603" w:rsidRPr="00631BF5" w:rsidRDefault="00131603" w:rsidP="00A539EA">
            <w:pPr>
              <w:numPr>
                <w:ilvl w:val="0"/>
                <w:numId w:val="21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potencjał kadrowy </w:t>
            </w:r>
          </w:p>
          <w:p w14:paraId="623206A6" w14:textId="77777777" w:rsidR="00131603" w:rsidRPr="00631BF5" w:rsidRDefault="00131603" w:rsidP="00A539EA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planowany do wykorzystania w ramach projektu.</w:t>
            </w:r>
          </w:p>
          <w:p w14:paraId="3435F1BC" w14:textId="77777777" w:rsidR="00131603" w:rsidRPr="00631BF5" w:rsidRDefault="00131603" w:rsidP="00A539EA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73BBEF99" w14:textId="77777777" w:rsidR="00131603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</w:t>
            </w:r>
          </w:p>
          <w:p w14:paraId="37515FD7" w14:textId="77777777" w:rsidR="00175DA3" w:rsidRDefault="00175DA3" w:rsidP="00A539EA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4879490" w14:textId="38962C01" w:rsidR="00175DA3" w:rsidRPr="003A0396" w:rsidRDefault="00175DA3" w:rsidP="00175DA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</w:tc>
        <w:tc>
          <w:tcPr>
            <w:tcW w:w="4111" w:type="dxa"/>
            <w:shd w:val="clear" w:color="auto" w:fill="FFFFFF" w:themeFill="background1"/>
          </w:tcPr>
          <w:p w14:paraId="305B14EE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13EC64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0496723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2B067F4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4DD7A1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br/>
            </w:r>
          </w:p>
        </w:tc>
      </w:tr>
      <w:tr w:rsidR="00131603" w:rsidRPr="00631BF5" w14:paraId="033B686F" w14:textId="77777777" w:rsidTr="00030A3A">
        <w:tc>
          <w:tcPr>
            <w:tcW w:w="539" w:type="dxa"/>
            <w:shd w:val="clear" w:color="auto" w:fill="FFFFFF" w:themeFill="background1"/>
          </w:tcPr>
          <w:p w14:paraId="1E20E1D1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276" w:type="dxa"/>
            <w:shd w:val="clear" w:color="auto" w:fill="FFFFFF" w:themeFill="background1"/>
          </w:tcPr>
          <w:p w14:paraId="6E83E398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54BF21CC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nieosiągnięcia założeń projektu (o ile dotyczy).</w:t>
            </w:r>
          </w:p>
        </w:tc>
        <w:tc>
          <w:tcPr>
            <w:tcW w:w="5103" w:type="dxa"/>
            <w:shd w:val="clear" w:color="auto" w:fill="FFFFFF" w:themeFill="background1"/>
          </w:tcPr>
          <w:p w14:paraId="3297294F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W ramach kryterium oceniana będzie trafność opisanej analizy ryzyka nieosiągnięcia założeń projektu (o ile dotyczy), w tym: </w:t>
            </w:r>
          </w:p>
          <w:p w14:paraId="6C189024" w14:textId="77777777" w:rsidR="00131603" w:rsidRPr="00631BF5" w:rsidRDefault="00131603" w:rsidP="00A539E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055EAA1F" w14:textId="77777777" w:rsidR="00131603" w:rsidRPr="00631BF5" w:rsidRDefault="00131603" w:rsidP="00A539E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1BB11040" w14:textId="77777777" w:rsidR="00131603" w:rsidRPr="00631BF5" w:rsidRDefault="00131603" w:rsidP="00A539E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72C9286F" w14:textId="77777777" w:rsidR="00131603" w:rsidRPr="00631BF5" w:rsidRDefault="00131603" w:rsidP="00A539E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631BF5">
              <w:rPr>
                <w:rFonts w:eastAsia="Calibri" w:cstheme="minorHAnsi"/>
                <w:sz w:val="22"/>
                <w:szCs w:val="22"/>
              </w:rPr>
              <w:t xml:space="preserve">działań jakie będą mogły zostać podjęte, aby zminimalizować skutki wystąpienia ryzyka. </w:t>
            </w:r>
            <w:r w:rsidRPr="00631BF5">
              <w:rPr>
                <w:rFonts w:eastAsia="Calibri" w:cstheme="minorHAnsi"/>
                <w:sz w:val="22"/>
                <w:szCs w:val="22"/>
                <w:highlight w:val="cyan"/>
              </w:rPr>
              <w:t xml:space="preserve"> </w:t>
            </w:r>
          </w:p>
          <w:p w14:paraId="2A212B94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ind w:left="200"/>
              <w:rPr>
                <w:rFonts w:eastAsia="Calibri" w:cstheme="minorHAnsi"/>
                <w:sz w:val="22"/>
                <w:szCs w:val="22"/>
              </w:rPr>
            </w:pPr>
          </w:p>
          <w:p w14:paraId="143AF5A0" w14:textId="77777777" w:rsidR="00131603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projektu strategicznego (wraz z załącznikami, w tym Instrukcją merytoryczną wypełniania wniosku o dofinansowanie projektu współfinansowanego z EFS+ w ramach  Programu Fundusze Europejskie dla Warmii i Mazur 2021-2027).</w:t>
            </w:r>
          </w:p>
          <w:p w14:paraId="1C0E2A1B" w14:textId="77777777" w:rsidR="00175DA3" w:rsidRDefault="00175DA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918CFA" w14:textId="5D3754BE" w:rsidR="00175DA3" w:rsidRPr="003A0396" w:rsidRDefault="00175DA3" w:rsidP="00175DA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</w:tc>
        <w:tc>
          <w:tcPr>
            <w:tcW w:w="4111" w:type="dxa"/>
            <w:shd w:val="clear" w:color="auto" w:fill="FFFFFF" w:themeFill="background1"/>
          </w:tcPr>
          <w:p w14:paraId="4BDA4636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FC454F8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FC6F4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6445F80B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B49A492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19221350" w14:textId="77777777" w:rsidR="00131603" w:rsidRPr="00631BF5" w:rsidRDefault="00131603" w:rsidP="00131603">
      <w:pPr>
        <w:rPr>
          <w:rFonts w:cstheme="minorHAnsi"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131603" w:rsidRPr="00631BF5" w14:paraId="300F7A24" w14:textId="77777777" w:rsidTr="00A539EA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4B4BA541" w14:textId="77777777" w:rsidR="00131603" w:rsidRPr="00631BF5" w:rsidRDefault="00131603" w:rsidP="00A539E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bookmarkStart w:id="2" w:name="_Hlk137807958"/>
            <w:bookmarkEnd w:id="1"/>
            <w:r w:rsidRPr="00631BF5">
              <w:rPr>
                <w:rFonts w:cstheme="minorHAnsi"/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131603" w:rsidRPr="00631BF5" w14:paraId="55C752D6" w14:textId="77777777" w:rsidTr="00A539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5CCD9483" w14:textId="77777777" w:rsidR="00131603" w:rsidRPr="00631BF5" w:rsidRDefault="00131603" w:rsidP="00A539E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131603" w:rsidRPr="00631BF5" w14:paraId="63A026C2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AC1AF23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5368B1EC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727E8D43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7BFE3E12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131603" w:rsidRPr="00631BF5" w14:paraId="4A03EBF5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1FBC1D0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0246FA2B" w14:textId="77777777" w:rsidR="00131603" w:rsidRPr="00631BF5" w:rsidRDefault="00131603" w:rsidP="00A539EA">
            <w:pPr>
              <w:autoSpaceDE w:val="0"/>
              <w:autoSpaceDN w:val="0"/>
              <w:adjustRightInd w:val="0"/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B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 znajduje się w </w:t>
            </w:r>
            <w:r w:rsidRPr="00631BF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Wykazie zidentyfikowanych projektów wybieranych w sposób niekonkurencyjny w ramach programu regionalnego na lata 2021-2027 Fundusze Europejskie dla Warmii i Mazur</w:t>
            </w:r>
          </w:p>
        </w:tc>
        <w:tc>
          <w:tcPr>
            <w:tcW w:w="4844" w:type="dxa"/>
          </w:tcPr>
          <w:p w14:paraId="3B4263E8" w14:textId="77777777" w:rsidR="000E1240" w:rsidRPr="00361323" w:rsidRDefault="000E1240" w:rsidP="000E124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asciiTheme="minorHAnsi" w:hAnsiTheme="minorHAnsi" w:cstheme="minorHAnsi"/>
                <w:b/>
                <w:sz w:val="22"/>
                <w:szCs w:val="22"/>
              </w:rPr>
              <w:t>Kryterium będzie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weryfikowane na podstawie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treści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wniosku o dofinansowanie projektu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części „Dodatkowe informacje”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Kryterium specyficzne dostępu nr 1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gdzie Wnioskodawca zobowiązany jest odznaczyć check-box „TAK” oraz informacji pozyskanych przez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KOP w trakcie dokonywania oceny (Wykaz zidentyfikowanych </w:t>
            </w:r>
            <w:r w:rsidRPr="00C71F32">
              <w:rPr>
                <w:rFonts w:ascii="Calibri" w:hAnsi="Calibri" w:cs="Calibri"/>
                <w:iCs/>
                <w:sz w:val="22"/>
                <w:szCs w:val="22"/>
              </w:rPr>
              <w:t>projektów wybieranych w sposób niekonkurencyjny w ramach programu regionalnego na lata 2021-2027 Fundusze Europejskie dla Warmii i Mazur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).</w:t>
            </w:r>
          </w:p>
          <w:p w14:paraId="00397B77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5FB068CE" w14:textId="321F97FD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kryterium zapewni realizację projektu zgodnego z Wykazem</w:t>
            </w:r>
            <w:r w:rsidRPr="00631BF5">
              <w:rPr>
                <w:rFonts w:ascii="Calibri" w:hAnsi="Calibri" w:cs="Calibri"/>
                <w:iCs/>
                <w:sz w:val="22"/>
                <w:szCs w:val="22"/>
              </w:rPr>
              <w:t xml:space="preserve"> zidentyfikowanych projektów wybieranych w sposób niekonkurencyjny w ramach programu regionalnego na lata 2021-2027 Fundusze Europejskie dla Warmii i Mazur</w:t>
            </w:r>
            <w:r w:rsidRPr="00631BF5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4385" w:type="dxa"/>
          </w:tcPr>
          <w:p w14:paraId="0DB18E51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FAD66FB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6A5495CE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6EE5E232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37FF3F8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2EBF1C07" w14:textId="77777777" w:rsidR="00131603" w:rsidRPr="00631BF5" w:rsidRDefault="00131603" w:rsidP="00A539EA">
            <w:pPr>
              <w:spacing w:before="0"/>
              <w:jc w:val="both"/>
              <w:rPr>
                <w:rFonts w:ascii="Calibri" w:hAnsi="Calibri" w:cs="Calibri"/>
                <w:strike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 xml:space="preserve">Projekt będzie realizowane dla uczniów szkół   z terenu województwa warmińsko-mazurskiego. </w:t>
            </w:r>
          </w:p>
          <w:p w14:paraId="74A31573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5AD808CD" w14:textId="77777777" w:rsidR="000E1240" w:rsidRPr="00611D7A" w:rsidRDefault="000E1240" w:rsidP="000E1240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treści 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  <w:p w14:paraId="18D54B6A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49BADFB3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kryterium zapewni realizację projektu zgodnego z Wykazem</w:t>
            </w:r>
            <w:r w:rsidRPr="00631BF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zidentyfikowanych projektów wybieranych w sposób niekonkurencyjny </w:t>
            </w:r>
            <w:r w:rsidRPr="00631BF5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w ramach programu regionalnego na lata 2021-2027 Fundusze Europejskie dla Warmii i Mazur</w:t>
            </w:r>
            <w:r w:rsidRPr="00631BF5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4385" w:type="dxa"/>
          </w:tcPr>
          <w:p w14:paraId="2124A6BA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61CF91A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708D1184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1A90ED7F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4239214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63A7AAC2" w14:textId="77777777" w:rsidR="00131603" w:rsidRPr="00631BF5" w:rsidRDefault="00131603" w:rsidP="00A539EA">
            <w:pPr>
              <w:spacing w:befor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spełnia wymagania finansowe w zakresie wysokości dofinansowania wskazanego w Regulaminie wyboru projektów w sposób niekonkurencyjny.</w:t>
            </w:r>
          </w:p>
          <w:p w14:paraId="324EB5BC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3485B961" w14:textId="77777777" w:rsidR="000E1240" w:rsidRDefault="000E1240" w:rsidP="000E1240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będzie weryfikowane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w projekcie”.</w:t>
            </w:r>
          </w:p>
          <w:p w14:paraId="34F72AA6" w14:textId="77777777" w:rsidR="00131603" w:rsidRPr="00631BF5" w:rsidRDefault="00131603" w:rsidP="00A539EA">
            <w:pPr>
              <w:suppressAutoHyphens/>
              <w:spacing w:before="0"/>
              <w:ind w:left="33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092BEF42" w14:textId="77777777" w:rsidR="00131603" w:rsidRPr="00631BF5" w:rsidRDefault="00131603" w:rsidP="00A539E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31BF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Uwzględnienie kryterium ma na celu dostosowanie montażu finansowego projektu do zakładanego podziału środków przyjętego przez IZ dla województwa warmińsko-mazurskiego.</w:t>
            </w:r>
          </w:p>
          <w:p w14:paraId="43D0B1BB" w14:textId="2C526848" w:rsidR="00131603" w:rsidRPr="000E1240" w:rsidRDefault="00131603" w:rsidP="00A539E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31BF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Kryterium to umożliwi IZ zabezpieczenie odpowiedniej ilości środków finansowych, pochodzących z budżetu jednostki samorządu terytorialnego.</w:t>
            </w:r>
          </w:p>
        </w:tc>
        <w:tc>
          <w:tcPr>
            <w:tcW w:w="4385" w:type="dxa"/>
          </w:tcPr>
          <w:p w14:paraId="383F2D86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BF5">
              <w:rPr>
                <w:rFonts w:ascii="Calibri" w:hAnsi="Calibri" w:cs="Calibr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AC2384E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37F7053E" w14:textId="77777777" w:rsidR="00131603" w:rsidRPr="00631BF5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6383C920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4F3F009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  <w:shd w:val="clear" w:color="auto" w:fill="FFFFFF" w:themeFill="background1"/>
          </w:tcPr>
          <w:p w14:paraId="5D4C6D5F" w14:textId="77777777" w:rsidR="00131603" w:rsidRPr="00631BF5" w:rsidRDefault="00131603" w:rsidP="00A539EA">
            <w:pPr>
              <w:spacing w:before="120" w:after="120" w:line="276" w:lineRule="auto"/>
              <w:contextualSpacing/>
              <w:rPr>
                <w:rFonts w:ascii="Calibri" w:hAnsi="Calibri" w:cs="Calibri"/>
                <w:color w:val="FF0000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zakłada opracowanie i wdrożenie nie mniej niż 25 lokalnych mechanizmów/narzędzi ws</w:t>
            </w:r>
            <w:r w:rsidRPr="000E1240">
              <w:rPr>
                <w:rFonts w:ascii="Calibri" w:hAnsi="Calibri" w:cs="Calibri"/>
                <w:sz w:val="22"/>
                <w:szCs w:val="22"/>
              </w:rPr>
              <w:t>pierania aktywności i inicjatyw młodzieży przy czym przynajmniej 5 w każdym z subregionów województwa warmińsko-mazurskiego: elbląskim, ełckim i olsztyńskim.</w:t>
            </w:r>
          </w:p>
          <w:p w14:paraId="580CC920" w14:textId="77777777" w:rsidR="00131603" w:rsidRPr="00631BF5" w:rsidRDefault="00131603" w:rsidP="00A539EA">
            <w:pPr>
              <w:spacing w:before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FFFFFF" w:themeFill="background1"/>
          </w:tcPr>
          <w:p w14:paraId="6C4BC959" w14:textId="77777777" w:rsidR="000E1240" w:rsidRPr="00611D7A" w:rsidRDefault="000E1240" w:rsidP="000E1240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treści wniosku o dofinansowanie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Wskaźniki projektu” oraz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„Zadania”.</w:t>
            </w:r>
          </w:p>
          <w:p w14:paraId="1A03F6EE" w14:textId="77777777" w:rsidR="00131603" w:rsidRPr="00631BF5" w:rsidRDefault="00131603" w:rsidP="00A539EA">
            <w:pPr>
              <w:widowControl w:val="0"/>
              <w:spacing w:before="0"/>
              <w:rPr>
                <w:rFonts w:ascii="Calibri" w:hAnsi="Calibri" w:cs="Calibri"/>
                <w:strike/>
                <w:sz w:val="22"/>
                <w:szCs w:val="22"/>
              </w:rPr>
            </w:pPr>
          </w:p>
          <w:p w14:paraId="0DA0F3FC" w14:textId="3F138F61" w:rsidR="00131603" w:rsidRPr="000E1240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kryterium ma na celu wykorzystanie lokalnych mechanizmów i narzędzi w celu zwiększenia aktywności uczniów w kierunku rozwijania ich kompetencji kluczowych, głównie społecznych i obywatelskich. Dodatkowo kryterium gwarantuje równomierne rozłożenie efektów projektu na całe województwo. Zapisy projektu gwarantować będą, że w każdym z subregionów powstanie min 5 lokalnych mechanizmów/ narzędzi wspierania aktywności i inicjatyw młodzieży.</w:t>
            </w:r>
          </w:p>
        </w:tc>
        <w:tc>
          <w:tcPr>
            <w:tcW w:w="4385" w:type="dxa"/>
            <w:shd w:val="clear" w:color="auto" w:fill="FFFFFF" w:themeFill="background1"/>
          </w:tcPr>
          <w:p w14:paraId="72BCB507" w14:textId="77777777" w:rsidR="00131603" w:rsidRPr="00631BF5" w:rsidRDefault="00131603" w:rsidP="00A539EA">
            <w:pPr>
              <w:widowControl w:val="0"/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C79CD5F" w14:textId="77777777" w:rsidR="00131603" w:rsidRPr="00631BF5" w:rsidRDefault="00131603" w:rsidP="00A539EA">
            <w:pPr>
              <w:widowControl w:val="0"/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77C88ADA" w14:textId="77777777" w:rsidR="00131603" w:rsidRPr="00631BF5" w:rsidRDefault="00131603" w:rsidP="00A539EA">
            <w:pPr>
              <w:widowControl w:val="0"/>
              <w:spacing w:before="0"/>
              <w:rPr>
                <w:rFonts w:ascii="Calibri" w:hAnsi="Calibri" w:cs="Calibri"/>
                <w:strike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49117919" w14:textId="77777777" w:rsidTr="00A539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1C7BB3F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76674BEE" w14:textId="77777777" w:rsidR="00131603" w:rsidRPr="00631BF5" w:rsidRDefault="00131603" w:rsidP="00A539EA">
            <w:pPr>
              <w:spacing w:before="0"/>
              <w:jc w:val="both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obejmuje wsparciem 500 uczniów w przedziale wiekowym 12-19 lat.</w:t>
            </w:r>
          </w:p>
          <w:p w14:paraId="73D8E6D0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03CFC926" w14:textId="77777777" w:rsidR="000E1240" w:rsidRPr="00703A40" w:rsidRDefault="000E1240" w:rsidP="000E1240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3851A4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treści wniosku o dofinansowanie </w:t>
            </w:r>
            <w:r>
              <w:rPr>
                <w:rFonts w:cstheme="minorHAnsi"/>
                <w:b/>
                <w:sz w:val="22"/>
                <w:szCs w:val="22"/>
              </w:rPr>
              <w:lastRenderedPageBreak/>
              <w:t xml:space="preserve">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3851A4">
              <w:rPr>
                <w:rFonts w:cstheme="minorHAnsi"/>
                <w:b/>
                <w:sz w:val="22"/>
                <w:szCs w:val="22"/>
              </w:rPr>
              <w:t xml:space="preserve"> części „Wskaźniki projektu” oraz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  <w:p w14:paraId="390BAD74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A613A8E" w14:textId="4DFE172D" w:rsidR="00131603" w:rsidRPr="000E1240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powyższego kryterium zapewni realizację projektu zgodnego z Wykazem</w:t>
            </w:r>
            <w:r w:rsidRPr="00631BF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zidentyfikowanych projektów wybieranych w sposób niekonkurencyjny w ramach programu regionalnego na lata 2021-2027 Fundusze Europejskie dla Warmii i Mazur</w:t>
            </w:r>
            <w:r w:rsidRPr="00631BF5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4385" w:type="dxa"/>
          </w:tcPr>
          <w:p w14:paraId="2F105884" w14:textId="77777777" w:rsidR="00131603" w:rsidRPr="00631BF5" w:rsidRDefault="00131603" w:rsidP="00A539E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lastRenderedPageBreak/>
              <w:t xml:space="preserve">Kryterium obligatoryjne – spełnienie kryterium jest niezbędne do przyznania </w:t>
            </w:r>
            <w:r w:rsidRPr="00631BF5">
              <w:rPr>
                <w:rFonts w:cstheme="minorHAnsi"/>
                <w:sz w:val="22"/>
                <w:szCs w:val="22"/>
              </w:rPr>
              <w:lastRenderedPageBreak/>
              <w:t>dofinansowania.</w:t>
            </w:r>
          </w:p>
          <w:p w14:paraId="21208E41" w14:textId="77777777" w:rsidR="00131603" w:rsidRPr="00631BF5" w:rsidRDefault="00131603" w:rsidP="00A539E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8FE2655" w14:textId="77777777" w:rsidR="00131603" w:rsidRPr="00631BF5" w:rsidRDefault="00131603" w:rsidP="00A539E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3A85A383" w14:textId="77777777" w:rsidTr="00A539EA">
        <w:trPr>
          <w:gridAfter w:val="1"/>
          <w:wAfter w:w="7" w:type="dxa"/>
          <w:trHeight w:val="2703"/>
        </w:trPr>
        <w:tc>
          <w:tcPr>
            <w:tcW w:w="539" w:type="dxa"/>
            <w:shd w:val="clear" w:color="auto" w:fill="FFFFFF" w:themeFill="background1"/>
          </w:tcPr>
          <w:p w14:paraId="3E5F956A" w14:textId="77777777" w:rsidR="00131603" w:rsidRPr="00631BF5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535" w:type="dxa"/>
          </w:tcPr>
          <w:p w14:paraId="73F3DB7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sz w:val="22"/>
                <w:szCs w:val="22"/>
              </w:rPr>
              <w:t xml:space="preserve">Projekt zakłada zawiązanie nie mniej niż 25  lokalnych koalicji na rzecz młodzieży. </w:t>
            </w:r>
          </w:p>
        </w:tc>
        <w:tc>
          <w:tcPr>
            <w:tcW w:w="4844" w:type="dxa"/>
          </w:tcPr>
          <w:p w14:paraId="11CD420C" w14:textId="77777777" w:rsidR="000E1240" w:rsidRPr="003851A4" w:rsidRDefault="000E1240" w:rsidP="000E1240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weryfikowane na podstawie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treści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Wskaźniki projektu” oraz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„Zadania”.</w:t>
            </w:r>
          </w:p>
          <w:p w14:paraId="083EB591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AF14E5" w14:textId="3A441914" w:rsidR="00131603" w:rsidRPr="000E1240" w:rsidRDefault="00131603" w:rsidP="00A539E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powyższego kryterium zapewni realizację projektu zgodnego z Wykazem</w:t>
            </w:r>
            <w:r w:rsidRPr="00631BF5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zidentyfikowanych projektów wybieranych w sposób niekonkurencyjny w ramach programu regionalnego na lata 2021-2027 Fundusze Europejskie dla Warmii i Mazur</w:t>
            </w:r>
            <w:r w:rsidRPr="00631BF5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4385" w:type="dxa"/>
          </w:tcPr>
          <w:p w14:paraId="37C16DD5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29F59A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3F03E9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:rsidDel="00AD3F8F" w14:paraId="33A4BF60" w14:textId="77777777" w:rsidTr="00A539EA">
        <w:trPr>
          <w:gridAfter w:val="1"/>
          <w:wAfter w:w="7" w:type="dxa"/>
          <w:trHeight w:val="2703"/>
        </w:trPr>
        <w:tc>
          <w:tcPr>
            <w:tcW w:w="539" w:type="dxa"/>
            <w:shd w:val="clear" w:color="auto" w:fill="FFFFFF" w:themeFill="background1"/>
          </w:tcPr>
          <w:p w14:paraId="33DEB654" w14:textId="77777777" w:rsidR="00131603" w:rsidRPr="00631BF5" w:rsidDel="00AD3F8F" w:rsidRDefault="00131603" w:rsidP="00A539E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</w:tcPr>
          <w:p w14:paraId="020570E9" w14:textId="77777777" w:rsidR="00131603" w:rsidRPr="00631BF5" w:rsidDel="00AD3F8F" w:rsidRDefault="00131603" w:rsidP="00A539EA">
            <w:pPr>
              <w:spacing w:before="0"/>
              <w:rPr>
                <w:sz w:val="22"/>
                <w:szCs w:val="22"/>
              </w:rPr>
            </w:pPr>
            <w:r w:rsidRPr="00631BF5">
              <w:rPr>
                <w:sz w:val="22"/>
                <w:szCs w:val="22"/>
              </w:rPr>
              <w:t>Projekt zakłada działania zmierzające do wsparcia uczniów zagrożonych dyskryminacją.</w:t>
            </w:r>
          </w:p>
        </w:tc>
        <w:tc>
          <w:tcPr>
            <w:tcW w:w="4844" w:type="dxa"/>
          </w:tcPr>
          <w:p w14:paraId="7676D92B" w14:textId="77777777" w:rsidR="000E1240" w:rsidRPr="003851A4" w:rsidRDefault="000E1240" w:rsidP="000E1240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weryfikowane na podstawie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treści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„Zadania”.</w:t>
            </w:r>
          </w:p>
          <w:p w14:paraId="3916F24C" w14:textId="77777777" w:rsidR="00131603" w:rsidRPr="00631BF5" w:rsidRDefault="00131603" w:rsidP="00A539EA">
            <w:pPr>
              <w:spacing w:before="0" w:line="259" w:lineRule="auto"/>
              <w:rPr>
                <w:rFonts w:cstheme="minorHAnsi"/>
                <w:sz w:val="22"/>
                <w:szCs w:val="22"/>
              </w:rPr>
            </w:pPr>
          </w:p>
          <w:p w14:paraId="405A12B2" w14:textId="77777777" w:rsidR="00131603" w:rsidRPr="00631BF5" w:rsidDel="00AD3F8F" w:rsidRDefault="00131603" w:rsidP="00A539EA">
            <w:pPr>
              <w:spacing w:before="0" w:line="259" w:lineRule="auto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ascii="Calibri" w:hAnsi="Calibri" w:cs="Calibri"/>
                <w:sz w:val="22"/>
                <w:szCs w:val="22"/>
              </w:rPr>
              <w:t>Uwzględnienie powyższego kryterium zapewni działania skierowane do uczniów zagrożonych dyskryminacją w celu ich zaktywizowania i udziału w projekcie.</w:t>
            </w:r>
          </w:p>
        </w:tc>
        <w:tc>
          <w:tcPr>
            <w:tcW w:w="4385" w:type="dxa"/>
          </w:tcPr>
          <w:p w14:paraId="5A8BFC45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759D974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CF810AE" w14:textId="77777777" w:rsidR="00131603" w:rsidRPr="00631BF5" w:rsidDel="00AD3F8F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cstheme="minorHAns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131603" w:rsidRPr="00631BF5" w14:paraId="29F967B1" w14:textId="77777777" w:rsidTr="00A539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524E8962" w14:textId="77777777" w:rsidR="00131603" w:rsidRPr="00631BF5" w:rsidRDefault="00131603" w:rsidP="00A539EA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lastRenderedPageBreak/>
              <w:t>PREMIUJĄCE</w:t>
            </w:r>
          </w:p>
        </w:tc>
      </w:tr>
      <w:tr w:rsidR="00131603" w:rsidRPr="00631BF5" w14:paraId="1F30A317" w14:textId="77777777" w:rsidTr="00A539EA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600BCB23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3F7CF5C0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37ECA024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0BC8534F" w14:textId="77777777" w:rsidR="00131603" w:rsidRPr="00631BF5" w:rsidRDefault="00131603" w:rsidP="00A539E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131603" w:rsidRPr="00631BF5" w14:paraId="2E09E541" w14:textId="77777777" w:rsidTr="00A539EA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27ED7556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4535" w:type="dxa"/>
            <w:shd w:val="clear" w:color="auto" w:fill="FFFFFF" w:themeFill="background1"/>
          </w:tcPr>
          <w:p w14:paraId="5BBB1EC3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4844" w:type="dxa"/>
            <w:shd w:val="clear" w:color="auto" w:fill="FFFFFF" w:themeFill="background1"/>
          </w:tcPr>
          <w:p w14:paraId="3497F35C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4385" w:type="dxa"/>
            <w:shd w:val="clear" w:color="auto" w:fill="FFFFFF" w:themeFill="background1"/>
          </w:tcPr>
          <w:p w14:paraId="445FE611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31BF5">
              <w:rPr>
                <w:rFonts w:cstheme="minorHAnsi"/>
                <w:b/>
                <w:sz w:val="22"/>
                <w:szCs w:val="22"/>
              </w:rPr>
              <w:t>-</w:t>
            </w:r>
          </w:p>
        </w:tc>
      </w:tr>
      <w:tr w:rsidR="00131603" w:rsidRPr="00631BF5" w14:paraId="489467BC" w14:textId="77777777" w:rsidTr="00A539EA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  <w:vAlign w:val="center"/>
          </w:tcPr>
          <w:p w14:paraId="4CACC89A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b/>
                <w:bCs/>
                <w:sz w:val="22"/>
                <w:szCs w:val="22"/>
                <w:lang w:eastAsia="pl-PL"/>
              </w:rPr>
            </w:pPr>
            <w:r w:rsidRPr="00631BF5">
              <w:rPr>
                <w:rFonts w:cstheme="minorHAnsi"/>
                <w:b/>
                <w:bCs/>
                <w:sz w:val="22"/>
                <w:szCs w:val="22"/>
                <w:lang w:eastAsia="pl-PL"/>
              </w:rPr>
              <w:t>CZY PROJEKT MOŻE ZOSTAĆ ZATWIERDZONY DO REALIZACJI</w:t>
            </w:r>
          </w:p>
          <w:p w14:paraId="1B989B8E" w14:textId="77777777" w:rsidR="00131603" w:rsidRPr="00631BF5" w:rsidRDefault="00131603" w:rsidP="00A539EA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131603" w:rsidRPr="00631BF5" w14:paraId="15FE6A46" w14:textId="77777777" w:rsidTr="00A539EA">
        <w:trPr>
          <w:gridAfter w:val="1"/>
          <w:wAfter w:w="7" w:type="dxa"/>
        </w:trPr>
        <w:tc>
          <w:tcPr>
            <w:tcW w:w="50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5C6647" w14:textId="77777777" w:rsidR="00131603" w:rsidRPr="00631BF5" w:rsidRDefault="00131603" w:rsidP="00A539EA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631BF5"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 w:rsidRPr="00631BF5"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3CC5023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 w:rsidRPr="00631BF5"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Nie – Skierować do poprawy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2B3E37" w14:textId="77777777" w:rsidR="00131603" w:rsidRPr="00631BF5" w:rsidRDefault="00131603" w:rsidP="00A539E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631BF5"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 w:rsidRPr="00631BF5"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Nie - odrzucić</w:t>
            </w:r>
          </w:p>
        </w:tc>
      </w:tr>
      <w:bookmarkEnd w:id="2"/>
    </w:tbl>
    <w:p w14:paraId="5C3FABF0" w14:textId="77777777" w:rsidR="00131603" w:rsidRPr="00631BF5" w:rsidRDefault="00131603" w:rsidP="00131603">
      <w:pPr>
        <w:rPr>
          <w:rFonts w:cstheme="minorHAnsi"/>
        </w:rPr>
      </w:pPr>
    </w:p>
    <w:p w14:paraId="11B3FA5A" w14:textId="77777777" w:rsidR="00131603" w:rsidRPr="00631BF5" w:rsidRDefault="00131603" w:rsidP="00131603">
      <w:pPr>
        <w:rPr>
          <w:rFonts w:cstheme="minorHAnsi"/>
        </w:rPr>
      </w:pPr>
    </w:p>
    <w:p w14:paraId="4098046B" w14:textId="77777777" w:rsidR="00131603" w:rsidRDefault="00131603" w:rsidP="00131603">
      <w:pPr>
        <w:rPr>
          <w:rFonts w:cstheme="minorHAnsi"/>
        </w:rPr>
      </w:pPr>
    </w:p>
    <w:p w14:paraId="1686BEB7" w14:textId="188281AA" w:rsidR="00117E9B" w:rsidRDefault="00117E9B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61B51146" w14:textId="7A64A54F" w:rsidR="00EF7053" w:rsidRDefault="00EF7053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0226C3B6" w14:textId="242EC1E9" w:rsidR="00EF7053" w:rsidRDefault="00EF7053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30D1C23E" w14:textId="7A1590A6" w:rsidR="00EF7053" w:rsidRDefault="00EF7053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12636203" w14:textId="77777777" w:rsidR="00EF7053" w:rsidRDefault="00EF7053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37BA210F" w14:textId="77777777" w:rsidR="00EF7053" w:rsidRPr="005D115D" w:rsidRDefault="00EF7053" w:rsidP="00EF7053">
      <w:pPr>
        <w:rPr>
          <w:rFonts w:cstheme="minorHAnsi"/>
          <w:sz w:val="22"/>
          <w:szCs w:val="22"/>
        </w:rPr>
      </w:pPr>
      <w:r w:rsidRPr="001C3C8B">
        <w:rPr>
          <w:rFonts w:ascii="Calibri" w:eastAsia="Calibri" w:hAnsi="Calibri" w:cs="Times New Roman"/>
          <w:b/>
          <w:bCs/>
          <w:color w:val="2F5496"/>
          <w:sz w:val="22"/>
          <w:szCs w:val="22"/>
        </w:rPr>
        <w:t>UWAGA!</w:t>
      </w:r>
      <w:r>
        <w:rPr>
          <w:rFonts w:cstheme="minorHAnsi"/>
          <w:sz w:val="22"/>
          <w:szCs w:val="22"/>
        </w:rPr>
        <w:t xml:space="preserve"> </w:t>
      </w:r>
      <w:r w:rsidRPr="005D115D">
        <w:rPr>
          <w:rFonts w:cstheme="minorHAnsi"/>
          <w:b/>
          <w:sz w:val="22"/>
          <w:szCs w:val="22"/>
        </w:rPr>
        <w:t xml:space="preserve">ION dopuściła dodatkowy limit znaków w </w:t>
      </w:r>
      <w:r>
        <w:rPr>
          <w:rFonts w:cstheme="minorHAnsi"/>
          <w:b/>
          <w:sz w:val="22"/>
          <w:szCs w:val="22"/>
        </w:rPr>
        <w:t>części: „Dodatkowe informacje”</w:t>
      </w:r>
      <w:r w:rsidRPr="00117E9B">
        <w:rPr>
          <w:rFonts w:cstheme="minorHAnsi"/>
          <w:b/>
          <w:sz w:val="22"/>
          <w:szCs w:val="22"/>
        </w:rPr>
        <w:sym w:font="Wingdings" w:char="F0E0"/>
      </w:r>
      <w:r w:rsidRPr="005D115D">
        <w:rPr>
          <w:rFonts w:cstheme="minorHAnsi"/>
          <w:b/>
          <w:sz w:val="22"/>
          <w:szCs w:val="22"/>
        </w:rPr>
        <w:t xml:space="preserve"> „Dodatkowy opis” co oznacza, że w przypadku niewystarczającej liczby znaków w podstawowej części wniosku Wnioskodawca może zawrz</w:t>
      </w:r>
      <w:r>
        <w:rPr>
          <w:rFonts w:cstheme="minorHAnsi"/>
          <w:b/>
          <w:sz w:val="22"/>
          <w:szCs w:val="22"/>
        </w:rPr>
        <w:t>eć dodatkowy opis w ww. częściach</w:t>
      </w:r>
      <w:r w:rsidRPr="005D115D">
        <w:rPr>
          <w:rFonts w:cstheme="minorHAnsi"/>
          <w:b/>
          <w:sz w:val="22"/>
          <w:szCs w:val="22"/>
        </w:rPr>
        <w:t>.</w:t>
      </w:r>
      <w:r w:rsidRPr="005D115D">
        <w:rPr>
          <w:b/>
          <w:sz w:val="22"/>
          <w:szCs w:val="22"/>
        </w:rPr>
        <w:t xml:space="preserve"> </w:t>
      </w:r>
      <w:r w:rsidRPr="005D115D">
        <w:rPr>
          <w:rFonts w:cstheme="minorHAnsi"/>
          <w:b/>
          <w:sz w:val="22"/>
          <w:szCs w:val="22"/>
        </w:rPr>
        <w:t>W takim przypadku należy podać nazwę pola z podstawowej części wniosku, którego dotyczy dodatkowy opis np.: „OPIS PROJEKTU - DODATKOWY OPIS”; „GRU</w:t>
      </w:r>
      <w:r>
        <w:rPr>
          <w:rFonts w:cstheme="minorHAnsi"/>
          <w:b/>
          <w:sz w:val="22"/>
          <w:szCs w:val="22"/>
        </w:rPr>
        <w:t xml:space="preserve">PY DOCELOWE – DODATKOWY OPIS”; </w:t>
      </w:r>
      <w:r w:rsidRPr="005D115D">
        <w:rPr>
          <w:rFonts w:cstheme="minorHAnsi"/>
          <w:b/>
          <w:sz w:val="22"/>
          <w:szCs w:val="22"/>
        </w:rPr>
        <w:t>„OPIS REKRUTACJI I UCZESTNIKÓW PROJEKTU - DODATKOWY OPIS” itd.</w:t>
      </w:r>
    </w:p>
    <w:p w14:paraId="21DC3A64" w14:textId="77777777" w:rsidR="001445EA" w:rsidRPr="00882091" w:rsidRDefault="001445EA" w:rsidP="007E3505">
      <w:pPr>
        <w:rPr>
          <w:rFonts w:cstheme="minorHAnsi"/>
        </w:rPr>
      </w:pPr>
    </w:p>
    <w:sectPr w:rsidR="001445EA" w:rsidRPr="00882091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4259A" w14:textId="77777777" w:rsidR="00320F25" w:rsidRDefault="00320F25" w:rsidP="008E3C08">
      <w:pPr>
        <w:spacing w:after="0" w:line="240" w:lineRule="auto"/>
      </w:pPr>
      <w:r>
        <w:separator/>
      </w:r>
    </w:p>
  </w:endnote>
  <w:endnote w:type="continuationSeparator" w:id="0">
    <w:p w14:paraId="3030F25E" w14:textId="77777777" w:rsidR="00320F25" w:rsidRDefault="00320F25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891E" w14:textId="77777777" w:rsidR="00320F25" w:rsidRDefault="00320F25" w:rsidP="008E3C08">
      <w:pPr>
        <w:spacing w:after="0" w:line="240" w:lineRule="auto"/>
      </w:pPr>
      <w:r>
        <w:separator/>
      </w:r>
    </w:p>
  </w:footnote>
  <w:footnote w:type="continuationSeparator" w:id="0">
    <w:p w14:paraId="41DD0DAA" w14:textId="77777777" w:rsidR="00320F25" w:rsidRDefault="00320F25" w:rsidP="008E3C08">
      <w:pPr>
        <w:spacing w:after="0" w:line="240" w:lineRule="auto"/>
      </w:pPr>
      <w:r>
        <w:continuationSeparator/>
      </w:r>
    </w:p>
  </w:footnote>
  <w:footnote w:id="1">
    <w:p w14:paraId="198FDB2A" w14:textId="77777777" w:rsidR="00631BF5" w:rsidRDefault="00631BF5" w:rsidP="00631B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B366AC">
        <w:t xml:space="preserve">kryteriów </w:t>
      </w:r>
      <w:r w:rsidRPr="007E3505">
        <w:t>zerojedynkowych</w:t>
      </w:r>
      <w:r w:rsidRPr="00B366AC">
        <w:t xml:space="preserve">. </w:t>
      </w:r>
    </w:p>
  </w:footnote>
  <w:footnote w:id="2">
    <w:p w14:paraId="3ED79A19" w14:textId="77777777" w:rsidR="00631BF5" w:rsidRDefault="00631BF5" w:rsidP="00631B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F810" w14:textId="3BA8D2A5" w:rsidR="001C6F00" w:rsidRDefault="001C6F00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67604"/>
    <w:multiLevelType w:val="hybridMultilevel"/>
    <w:tmpl w:val="A5AA1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26"/>
  </w:num>
  <w:num w:numId="5">
    <w:abstractNumId w:val="16"/>
  </w:num>
  <w:num w:numId="6">
    <w:abstractNumId w:val="7"/>
  </w:num>
  <w:num w:numId="7">
    <w:abstractNumId w:val="14"/>
  </w:num>
  <w:num w:numId="8">
    <w:abstractNumId w:val="23"/>
  </w:num>
  <w:num w:numId="9">
    <w:abstractNumId w:val="1"/>
  </w:num>
  <w:num w:numId="10">
    <w:abstractNumId w:val="24"/>
  </w:num>
  <w:num w:numId="11">
    <w:abstractNumId w:val="4"/>
  </w:num>
  <w:num w:numId="12">
    <w:abstractNumId w:val="6"/>
  </w:num>
  <w:num w:numId="13">
    <w:abstractNumId w:val="3"/>
  </w:num>
  <w:num w:numId="14">
    <w:abstractNumId w:val="27"/>
  </w:num>
  <w:num w:numId="15">
    <w:abstractNumId w:val="0"/>
  </w:num>
  <w:num w:numId="16">
    <w:abstractNumId w:val="29"/>
  </w:num>
  <w:num w:numId="17">
    <w:abstractNumId w:val="9"/>
  </w:num>
  <w:num w:numId="18">
    <w:abstractNumId w:val="25"/>
  </w:num>
  <w:num w:numId="19">
    <w:abstractNumId w:val="12"/>
  </w:num>
  <w:num w:numId="20">
    <w:abstractNumId w:val="28"/>
  </w:num>
  <w:num w:numId="21">
    <w:abstractNumId w:val="10"/>
  </w:num>
  <w:num w:numId="22">
    <w:abstractNumId w:val="19"/>
  </w:num>
  <w:num w:numId="23">
    <w:abstractNumId w:val="15"/>
  </w:num>
  <w:num w:numId="24">
    <w:abstractNumId w:val="17"/>
  </w:num>
  <w:num w:numId="25">
    <w:abstractNumId w:val="22"/>
  </w:num>
  <w:num w:numId="26">
    <w:abstractNumId w:val="30"/>
  </w:num>
  <w:num w:numId="27">
    <w:abstractNumId w:val="11"/>
  </w:num>
  <w:num w:numId="28">
    <w:abstractNumId w:val="8"/>
  </w:num>
  <w:num w:numId="29">
    <w:abstractNumId w:val="18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16A7"/>
    <w:rsid w:val="000070C1"/>
    <w:rsid w:val="00012B5C"/>
    <w:rsid w:val="000149F5"/>
    <w:rsid w:val="00026D3D"/>
    <w:rsid w:val="00030A3A"/>
    <w:rsid w:val="00033639"/>
    <w:rsid w:val="00033A2D"/>
    <w:rsid w:val="00034901"/>
    <w:rsid w:val="00040AFD"/>
    <w:rsid w:val="0004101F"/>
    <w:rsid w:val="00046BB5"/>
    <w:rsid w:val="000600E0"/>
    <w:rsid w:val="00062248"/>
    <w:rsid w:val="00062AFE"/>
    <w:rsid w:val="00064FD8"/>
    <w:rsid w:val="00065B4F"/>
    <w:rsid w:val="00073B51"/>
    <w:rsid w:val="000770AC"/>
    <w:rsid w:val="00082F3D"/>
    <w:rsid w:val="00096693"/>
    <w:rsid w:val="00097EDB"/>
    <w:rsid w:val="000B19FD"/>
    <w:rsid w:val="000B304D"/>
    <w:rsid w:val="000C53A7"/>
    <w:rsid w:val="000C7280"/>
    <w:rsid w:val="000C7E97"/>
    <w:rsid w:val="000D3A6F"/>
    <w:rsid w:val="000D43D5"/>
    <w:rsid w:val="000D504C"/>
    <w:rsid w:val="000E0291"/>
    <w:rsid w:val="000E0F7D"/>
    <w:rsid w:val="000E1240"/>
    <w:rsid w:val="000E5221"/>
    <w:rsid w:val="000F124A"/>
    <w:rsid w:val="00117E9B"/>
    <w:rsid w:val="00124936"/>
    <w:rsid w:val="001269E2"/>
    <w:rsid w:val="00131603"/>
    <w:rsid w:val="00142509"/>
    <w:rsid w:val="0014385A"/>
    <w:rsid w:val="001445EA"/>
    <w:rsid w:val="00151167"/>
    <w:rsid w:val="0015259B"/>
    <w:rsid w:val="001603A9"/>
    <w:rsid w:val="00160CFA"/>
    <w:rsid w:val="00162129"/>
    <w:rsid w:val="001658C9"/>
    <w:rsid w:val="00166F7B"/>
    <w:rsid w:val="00175DA3"/>
    <w:rsid w:val="0018043D"/>
    <w:rsid w:val="00181116"/>
    <w:rsid w:val="00182EE2"/>
    <w:rsid w:val="00187B92"/>
    <w:rsid w:val="00191A00"/>
    <w:rsid w:val="001A3452"/>
    <w:rsid w:val="001A4205"/>
    <w:rsid w:val="001A5636"/>
    <w:rsid w:val="001A7388"/>
    <w:rsid w:val="001B0C66"/>
    <w:rsid w:val="001B1EB1"/>
    <w:rsid w:val="001B258C"/>
    <w:rsid w:val="001C3C8B"/>
    <w:rsid w:val="001C5D67"/>
    <w:rsid w:val="001C6F00"/>
    <w:rsid w:val="001C7344"/>
    <w:rsid w:val="001C77B4"/>
    <w:rsid w:val="001C7992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7A61"/>
    <w:rsid w:val="002400D9"/>
    <w:rsid w:val="002716D6"/>
    <w:rsid w:val="002733B7"/>
    <w:rsid w:val="0027456B"/>
    <w:rsid w:val="00275386"/>
    <w:rsid w:val="00280C48"/>
    <w:rsid w:val="0029354D"/>
    <w:rsid w:val="002A6FCC"/>
    <w:rsid w:val="002C2A96"/>
    <w:rsid w:val="002C4350"/>
    <w:rsid w:val="002C49D4"/>
    <w:rsid w:val="002C6AE5"/>
    <w:rsid w:val="002C75E0"/>
    <w:rsid w:val="002D4DCB"/>
    <w:rsid w:val="002F225A"/>
    <w:rsid w:val="00301B84"/>
    <w:rsid w:val="00303640"/>
    <w:rsid w:val="00314821"/>
    <w:rsid w:val="00320F25"/>
    <w:rsid w:val="0032154D"/>
    <w:rsid w:val="00323BB4"/>
    <w:rsid w:val="003264CB"/>
    <w:rsid w:val="00326EBF"/>
    <w:rsid w:val="00332139"/>
    <w:rsid w:val="00333174"/>
    <w:rsid w:val="0033509E"/>
    <w:rsid w:val="00336610"/>
    <w:rsid w:val="0034131F"/>
    <w:rsid w:val="00343BD4"/>
    <w:rsid w:val="00344CD0"/>
    <w:rsid w:val="00345148"/>
    <w:rsid w:val="0035177C"/>
    <w:rsid w:val="00354733"/>
    <w:rsid w:val="00354C1C"/>
    <w:rsid w:val="0036145D"/>
    <w:rsid w:val="0036177F"/>
    <w:rsid w:val="00365AC4"/>
    <w:rsid w:val="003734E7"/>
    <w:rsid w:val="00383F91"/>
    <w:rsid w:val="003848DB"/>
    <w:rsid w:val="00390FF3"/>
    <w:rsid w:val="00391CB2"/>
    <w:rsid w:val="003A0396"/>
    <w:rsid w:val="003A67B5"/>
    <w:rsid w:val="003B1266"/>
    <w:rsid w:val="003B5383"/>
    <w:rsid w:val="003C2981"/>
    <w:rsid w:val="003D0EC2"/>
    <w:rsid w:val="003D612D"/>
    <w:rsid w:val="003D631A"/>
    <w:rsid w:val="003F265E"/>
    <w:rsid w:val="003F443B"/>
    <w:rsid w:val="00400F89"/>
    <w:rsid w:val="00405069"/>
    <w:rsid w:val="004109A2"/>
    <w:rsid w:val="00417826"/>
    <w:rsid w:val="00423EDC"/>
    <w:rsid w:val="0043075F"/>
    <w:rsid w:val="004336EF"/>
    <w:rsid w:val="004376F6"/>
    <w:rsid w:val="00463E82"/>
    <w:rsid w:val="00466332"/>
    <w:rsid w:val="00467711"/>
    <w:rsid w:val="0047207A"/>
    <w:rsid w:val="004900A2"/>
    <w:rsid w:val="004A2786"/>
    <w:rsid w:val="004B0406"/>
    <w:rsid w:val="004C696C"/>
    <w:rsid w:val="004C6C5A"/>
    <w:rsid w:val="004C7812"/>
    <w:rsid w:val="004D1987"/>
    <w:rsid w:val="004D28DB"/>
    <w:rsid w:val="004D5301"/>
    <w:rsid w:val="004D6FD1"/>
    <w:rsid w:val="004E187B"/>
    <w:rsid w:val="004E1AD4"/>
    <w:rsid w:val="004E56A0"/>
    <w:rsid w:val="004F5011"/>
    <w:rsid w:val="005025D1"/>
    <w:rsid w:val="00503374"/>
    <w:rsid w:val="005113A6"/>
    <w:rsid w:val="00513117"/>
    <w:rsid w:val="005131C3"/>
    <w:rsid w:val="00516763"/>
    <w:rsid w:val="00520BAD"/>
    <w:rsid w:val="00520DDB"/>
    <w:rsid w:val="00521CBC"/>
    <w:rsid w:val="0052481D"/>
    <w:rsid w:val="005324BF"/>
    <w:rsid w:val="00536F22"/>
    <w:rsid w:val="00541BCB"/>
    <w:rsid w:val="00553A08"/>
    <w:rsid w:val="00566CA6"/>
    <w:rsid w:val="00574BAD"/>
    <w:rsid w:val="00580F0D"/>
    <w:rsid w:val="005811FD"/>
    <w:rsid w:val="0059051C"/>
    <w:rsid w:val="005963BD"/>
    <w:rsid w:val="005A3082"/>
    <w:rsid w:val="005A5DEF"/>
    <w:rsid w:val="005B429F"/>
    <w:rsid w:val="005B7061"/>
    <w:rsid w:val="005C1AFB"/>
    <w:rsid w:val="005D115D"/>
    <w:rsid w:val="005E4421"/>
    <w:rsid w:val="005E6708"/>
    <w:rsid w:val="00601306"/>
    <w:rsid w:val="00603805"/>
    <w:rsid w:val="00614D91"/>
    <w:rsid w:val="00614DD0"/>
    <w:rsid w:val="006277B9"/>
    <w:rsid w:val="00631BF5"/>
    <w:rsid w:val="00644067"/>
    <w:rsid w:val="00645EC9"/>
    <w:rsid w:val="00654619"/>
    <w:rsid w:val="00664874"/>
    <w:rsid w:val="006663B1"/>
    <w:rsid w:val="00666EBF"/>
    <w:rsid w:val="00686B0B"/>
    <w:rsid w:val="00695249"/>
    <w:rsid w:val="006C2C7F"/>
    <w:rsid w:val="006D008B"/>
    <w:rsid w:val="006D19C5"/>
    <w:rsid w:val="006D4CDF"/>
    <w:rsid w:val="006D5DF2"/>
    <w:rsid w:val="006D6BF4"/>
    <w:rsid w:val="006E48B4"/>
    <w:rsid w:val="006F3432"/>
    <w:rsid w:val="00700C39"/>
    <w:rsid w:val="00707925"/>
    <w:rsid w:val="0071489C"/>
    <w:rsid w:val="00731B07"/>
    <w:rsid w:val="007344A6"/>
    <w:rsid w:val="00737CD7"/>
    <w:rsid w:val="00740215"/>
    <w:rsid w:val="0075443C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F0EF9"/>
    <w:rsid w:val="007F3D26"/>
    <w:rsid w:val="007F570C"/>
    <w:rsid w:val="007F5C89"/>
    <w:rsid w:val="007F7781"/>
    <w:rsid w:val="00801F7D"/>
    <w:rsid w:val="0080397E"/>
    <w:rsid w:val="00803A7B"/>
    <w:rsid w:val="00805790"/>
    <w:rsid w:val="00805C0B"/>
    <w:rsid w:val="008068D3"/>
    <w:rsid w:val="008260ED"/>
    <w:rsid w:val="00841AD4"/>
    <w:rsid w:val="00845344"/>
    <w:rsid w:val="0085067B"/>
    <w:rsid w:val="00852830"/>
    <w:rsid w:val="00853998"/>
    <w:rsid w:val="00863252"/>
    <w:rsid w:val="0087123B"/>
    <w:rsid w:val="00881C3C"/>
    <w:rsid w:val="00881E06"/>
    <w:rsid w:val="00882004"/>
    <w:rsid w:val="00882091"/>
    <w:rsid w:val="008857C6"/>
    <w:rsid w:val="008871F8"/>
    <w:rsid w:val="0088789E"/>
    <w:rsid w:val="008A4533"/>
    <w:rsid w:val="008A5134"/>
    <w:rsid w:val="008A594D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E3249"/>
    <w:rsid w:val="008E3C08"/>
    <w:rsid w:val="008E5382"/>
    <w:rsid w:val="008F07C8"/>
    <w:rsid w:val="008F4304"/>
    <w:rsid w:val="009203CA"/>
    <w:rsid w:val="00921F87"/>
    <w:rsid w:val="0092507B"/>
    <w:rsid w:val="00945A15"/>
    <w:rsid w:val="009472E7"/>
    <w:rsid w:val="00956DC0"/>
    <w:rsid w:val="0096255B"/>
    <w:rsid w:val="00963A9D"/>
    <w:rsid w:val="009706C1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6F1D"/>
    <w:rsid w:val="009A7CAF"/>
    <w:rsid w:val="009C413D"/>
    <w:rsid w:val="009C5C5D"/>
    <w:rsid w:val="009D48FA"/>
    <w:rsid w:val="009E1DFA"/>
    <w:rsid w:val="009E6D3F"/>
    <w:rsid w:val="009E76C7"/>
    <w:rsid w:val="009F429B"/>
    <w:rsid w:val="009F730B"/>
    <w:rsid w:val="009F748E"/>
    <w:rsid w:val="00A00CE3"/>
    <w:rsid w:val="00A03666"/>
    <w:rsid w:val="00A076EF"/>
    <w:rsid w:val="00A208BE"/>
    <w:rsid w:val="00A26DEE"/>
    <w:rsid w:val="00A317C0"/>
    <w:rsid w:val="00A31BD5"/>
    <w:rsid w:val="00A31DD7"/>
    <w:rsid w:val="00A363BA"/>
    <w:rsid w:val="00A3683A"/>
    <w:rsid w:val="00A436F4"/>
    <w:rsid w:val="00A472C8"/>
    <w:rsid w:val="00A5063A"/>
    <w:rsid w:val="00A51B06"/>
    <w:rsid w:val="00A527A4"/>
    <w:rsid w:val="00A52DE1"/>
    <w:rsid w:val="00A52F11"/>
    <w:rsid w:val="00A56B98"/>
    <w:rsid w:val="00A60F0B"/>
    <w:rsid w:val="00A725A0"/>
    <w:rsid w:val="00A81522"/>
    <w:rsid w:val="00A85344"/>
    <w:rsid w:val="00A90CA7"/>
    <w:rsid w:val="00AA06A5"/>
    <w:rsid w:val="00AB1E2C"/>
    <w:rsid w:val="00AB1EFB"/>
    <w:rsid w:val="00AB649D"/>
    <w:rsid w:val="00AD1B68"/>
    <w:rsid w:val="00AD1FEB"/>
    <w:rsid w:val="00AD2592"/>
    <w:rsid w:val="00AE322D"/>
    <w:rsid w:val="00B06A13"/>
    <w:rsid w:val="00B105EC"/>
    <w:rsid w:val="00B11C43"/>
    <w:rsid w:val="00B11D12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64E8B"/>
    <w:rsid w:val="00B86DF1"/>
    <w:rsid w:val="00B87433"/>
    <w:rsid w:val="00BA16DA"/>
    <w:rsid w:val="00BA25B0"/>
    <w:rsid w:val="00BA35D5"/>
    <w:rsid w:val="00BA5268"/>
    <w:rsid w:val="00BB026F"/>
    <w:rsid w:val="00BB69EE"/>
    <w:rsid w:val="00BC63A3"/>
    <w:rsid w:val="00BE7AAE"/>
    <w:rsid w:val="00BF14B0"/>
    <w:rsid w:val="00BF1B65"/>
    <w:rsid w:val="00BF2FA9"/>
    <w:rsid w:val="00BF5DB9"/>
    <w:rsid w:val="00C03EF7"/>
    <w:rsid w:val="00C05634"/>
    <w:rsid w:val="00C1063B"/>
    <w:rsid w:val="00C12B90"/>
    <w:rsid w:val="00C20B05"/>
    <w:rsid w:val="00C23B64"/>
    <w:rsid w:val="00C406BF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376D"/>
    <w:rsid w:val="00CA4937"/>
    <w:rsid w:val="00CA58A6"/>
    <w:rsid w:val="00CB082B"/>
    <w:rsid w:val="00CB3EFF"/>
    <w:rsid w:val="00CB4119"/>
    <w:rsid w:val="00CC3109"/>
    <w:rsid w:val="00CC32A7"/>
    <w:rsid w:val="00CD3197"/>
    <w:rsid w:val="00CD5503"/>
    <w:rsid w:val="00CF01FB"/>
    <w:rsid w:val="00CF0DD7"/>
    <w:rsid w:val="00CF219C"/>
    <w:rsid w:val="00CF431B"/>
    <w:rsid w:val="00D0016A"/>
    <w:rsid w:val="00D10292"/>
    <w:rsid w:val="00D134A6"/>
    <w:rsid w:val="00D2258C"/>
    <w:rsid w:val="00D316E1"/>
    <w:rsid w:val="00D35C0C"/>
    <w:rsid w:val="00D3625B"/>
    <w:rsid w:val="00D37E98"/>
    <w:rsid w:val="00D42427"/>
    <w:rsid w:val="00D4319A"/>
    <w:rsid w:val="00D4538C"/>
    <w:rsid w:val="00D500DB"/>
    <w:rsid w:val="00D52BEB"/>
    <w:rsid w:val="00D6540F"/>
    <w:rsid w:val="00D673ED"/>
    <w:rsid w:val="00D765A2"/>
    <w:rsid w:val="00D83AEB"/>
    <w:rsid w:val="00D85A7A"/>
    <w:rsid w:val="00DA67E1"/>
    <w:rsid w:val="00DB2DCE"/>
    <w:rsid w:val="00DC0CDE"/>
    <w:rsid w:val="00DC6770"/>
    <w:rsid w:val="00DC6E77"/>
    <w:rsid w:val="00DD03FC"/>
    <w:rsid w:val="00DE0062"/>
    <w:rsid w:val="00DE1811"/>
    <w:rsid w:val="00DE496D"/>
    <w:rsid w:val="00DE51AD"/>
    <w:rsid w:val="00DF7735"/>
    <w:rsid w:val="00E02F5F"/>
    <w:rsid w:val="00E050CD"/>
    <w:rsid w:val="00E06FF2"/>
    <w:rsid w:val="00E07E18"/>
    <w:rsid w:val="00E10F1C"/>
    <w:rsid w:val="00E16AC6"/>
    <w:rsid w:val="00E21FF7"/>
    <w:rsid w:val="00E220D9"/>
    <w:rsid w:val="00E26C7F"/>
    <w:rsid w:val="00E3169A"/>
    <w:rsid w:val="00E45D2A"/>
    <w:rsid w:val="00E5107C"/>
    <w:rsid w:val="00E54B68"/>
    <w:rsid w:val="00E610D9"/>
    <w:rsid w:val="00E64BA1"/>
    <w:rsid w:val="00E742DF"/>
    <w:rsid w:val="00E8383F"/>
    <w:rsid w:val="00E93C70"/>
    <w:rsid w:val="00E93DD7"/>
    <w:rsid w:val="00E9754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EF7053"/>
    <w:rsid w:val="00F06B8D"/>
    <w:rsid w:val="00F06EB2"/>
    <w:rsid w:val="00F107E3"/>
    <w:rsid w:val="00F12848"/>
    <w:rsid w:val="00F14702"/>
    <w:rsid w:val="00F147F6"/>
    <w:rsid w:val="00F14E9A"/>
    <w:rsid w:val="00F2297B"/>
    <w:rsid w:val="00F4490A"/>
    <w:rsid w:val="00F47A07"/>
    <w:rsid w:val="00F47B52"/>
    <w:rsid w:val="00F55934"/>
    <w:rsid w:val="00F56DA2"/>
    <w:rsid w:val="00F60290"/>
    <w:rsid w:val="00F61C28"/>
    <w:rsid w:val="00F67462"/>
    <w:rsid w:val="00F8353C"/>
    <w:rsid w:val="00F84DA3"/>
    <w:rsid w:val="00FA1098"/>
    <w:rsid w:val="00FA4582"/>
    <w:rsid w:val="00FC1B64"/>
    <w:rsid w:val="00FC2FDD"/>
    <w:rsid w:val="00FD1D56"/>
    <w:rsid w:val="00FE0DC4"/>
    <w:rsid w:val="00FE11AB"/>
    <w:rsid w:val="00FE476F"/>
    <w:rsid w:val="00FE6DEC"/>
    <w:rsid w:val="00FF22ED"/>
    <w:rsid w:val="00FF27DD"/>
    <w:rsid w:val="00FF469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374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,List Paragraph compact Znak,Normal bullet 2 Znak,Paragraphe de liste 2 Znak,Reference list Znak,Bullet list Znak,Numbered List Znak,List Paragraph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3ADF-5763-429F-BD73-5A8F3066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29</Pages>
  <Words>6196</Words>
  <Characters>37176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Joanna Żuchniewicz</cp:lastModifiedBy>
  <cp:revision>119</cp:revision>
  <cp:lastPrinted>2023-03-21T06:48:00Z</cp:lastPrinted>
  <dcterms:created xsi:type="dcterms:W3CDTF">2023-04-19T10:00:00Z</dcterms:created>
  <dcterms:modified xsi:type="dcterms:W3CDTF">2023-06-19T09:22:00Z</dcterms:modified>
</cp:coreProperties>
</file>