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23E3E" w14:textId="286BC54F" w:rsidR="005E30C9" w:rsidRPr="005E30C9" w:rsidRDefault="005E30C9" w:rsidP="005E30C9">
      <w:pPr>
        <w:pStyle w:val="Akapitzlist"/>
        <w:ind w:left="142"/>
        <w:jc w:val="right"/>
        <w:rPr>
          <w:rFonts w:asciiTheme="minorHAnsi" w:hAnsiTheme="minorHAnsi" w:cstheme="minorHAnsi"/>
          <w:sz w:val="18"/>
          <w:szCs w:val="24"/>
        </w:rPr>
      </w:pPr>
      <w:r w:rsidRPr="005E30C9">
        <w:rPr>
          <w:rFonts w:asciiTheme="minorHAnsi" w:hAnsiTheme="minorHAnsi" w:cstheme="minorHAnsi"/>
          <w:sz w:val="18"/>
          <w:szCs w:val="24"/>
        </w:rPr>
        <w:t xml:space="preserve">Załącznik nr </w:t>
      </w:r>
      <w:r>
        <w:rPr>
          <w:rFonts w:asciiTheme="minorHAnsi" w:hAnsiTheme="minorHAnsi" w:cstheme="minorHAnsi"/>
          <w:sz w:val="18"/>
          <w:szCs w:val="24"/>
        </w:rPr>
        <w:t xml:space="preserve">3 </w:t>
      </w:r>
      <w:r w:rsidRPr="005E30C9">
        <w:rPr>
          <w:rFonts w:asciiTheme="minorHAnsi" w:hAnsiTheme="minorHAnsi" w:cstheme="minorHAnsi"/>
          <w:sz w:val="18"/>
          <w:szCs w:val="24"/>
        </w:rPr>
        <w:t xml:space="preserve">do Regulaminu </w:t>
      </w:r>
    </w:p>
    <w:p w14:paraId="125A8606" w14:textId="5DFC9522" w:rsidR="005E30C9" w:rsidRPr="005E30C9" w:rsidRDefault="005E30C9" w:rsidP="005E30C9">
      <w:pPr>
        <w:pStyle w:val="Akapitzlist"/>
        <w:ind w:left="142"/>
        <w:jc w:val="right"/>
        <w:rPr>
          <w:rFonts w:asciiTheme="minorHAnsi" w:hAnsiTheme="minorHAnsi" w:cstheme="minorHAnsi"/>
          <w:sz w:val="18"/>
          <w:szCs w:val="24"/>
        </w:rPr>
      </w:pPr>
      <w:r w:rsidRPr="005E30C9">
        <w:rPr>
          <w:rFonts w:asciiTheme="minorHAnsi" w:hAnsiTheme="minorHAnsi" w:cstheme="minorHAnsi"/>
          <w:sz w:val="18"/>
          <w:szCs w:val="24"/>
        </w:rPr>
        <w:t>wyboru projekt</w:t>
      </w:r>
      <w:r w:rsidR="00605348">
        <w:rPr>
          <w:rFonts w:asciiTheme="minorHAnsi" w:hAnsiTheme="minorHAnsi" w:cstheme="minorHAnsi"/>
          <w:sz w:val="18"/>
          <w:szCs w:val="24"/>
        </w:rPr>
        <w:t xml:space="preserve">u </w:t>
      </w:r>
      <w:bookmarkStart w:id="0" w:name="_GoBack"/>
      <w:bookmarkEnd w:id="0"/>
      <w:r w:rsidRPr="005E30C9">
        <w:rPr>
          <w:rFonts w:asciiTheme="minorHAnsi" w:hAnsiTheme="minorHAnsi" w:cstheme="minorHAnsi"/>
          <w:sz w:val="18"/>
          <w:szCs w:val="24"/>
        </w:rPr>
        <w:t xml:space="preserve">w ramach naboru </w:t>
      </w:r>
      <w:r>
        <w:rPr>
          <w:rFonts w:asciiTheme="minorHAnsi" w:hAnsiTheme="minorHAnsi" w:cstheme="minorHAnsi"/>
          <w:sz w:val="18"/>
          <w:szCs w:val="24"/>
        </w:rPr>
        <w:br/>
      </w:r>
      <w:r w:rsidRPr="005E30C9">
        <w:rPr>
          <w:rFonts w:asciiTheme="minorHAnsi" w:hAnsiTheme="minorHAnsi" w:cstheme="minorHAnsi"/>
          <w:sz w:val="18"/>
          <w:szCs w:val="24"/>
        </w:rPr>
        <w:t>nr FEWM.04.01-IZ.00-002/25</w:t>
      </w:r>
    </w:p>
    <w:p w14:paraId="0A3E640F" w14:textId="60AF5AF4" w:rsidR="00D62E25" w:rsidRDefault="005E30C9" w:rsidP="005E30C9">
      <w:pPr>
        <w:pStyle w:val="Akapitzlist"/>
        <w:ind w:left="142"/>
        <w:jc w:val="right"/>
        <w:rPr>
          <w:rFonts w:asciiTheme="minorHAnsi" w:hAnsiTheme="minorHAnsi" w:cstheme="minorHAnsi"/>
          <w:bCs/>
          <w:sz w:val="18"/>
        </w:rPr>
      </w:pPr>
      <w:r w:rsidRPr="005E30C9">
        <w:rPr>
          <w:rFonts w:asciiTheme="minorHAnsi" w:hAnsiTheme="minorHAnsi" w:cstheme="minorHAnsi"/>
          <w:sz w:val="18"/>
          <w:szCs w:val="24"/>
        </w:rPr>
        <w:t xml:space="preserve"> z ………………….. 2025 r</w:t>
      </w:r>
      <w:r>
        <w:rPr>
          <w:rFonts w:asciiTheme="minorHAnsi" w:hAnsiTheme="minorHAnsi" w:cstheme="minorHAnsi"/>
          <w:sz w:val="18"/>
          <w:szCs w:val="24"/>
        </w:rPr>
        <w:t>.</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potwierdzającymi kwalifikację tych </w:t>
            </w:r>
            <w:r>
              <w:rPr>
                <w:rFonts w:asciiTheme="minorHAnsi" w:hAnsiTheme="minorHAnsi" w:cstheme="minorHAnsi"/>
                <w:bCs/>
                <w:sz w:val="18"/>
                <w:szCs w:val="18"/>
              </w:rPr>
              <w:lastRenderedPageBreak/>
              <w:t>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35380C7E"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lastRenderedPageBreak/>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5AD065F4" w14:textId="07E41869" w:rsidR="000C6687" w:rsidRDefault="000C6687" w:rsidP="000C6687">
            <w:pPr>
              <w:rPr>
                <w:rFonts w:cstheme="minorHAnsi"/>
                <w:sz w:val="18"/>
                <w:szCs w:val="18"/>
              </w:rPr>
            </w:pPr>
          </w:p>
          <w:p w14:paraId="548934A8" w14:textId="2EB5F9EF" w:rsidR="000C6687" w:rsidRDefault="000C6687" w:rsidP="000C6687">
            <w:pPr>
              <w:rPr>
                <w:rFonts w:cstheme="minorHAnsi"/>
                <w:sz w:val="18"/>
                <w:szCs w:val="18"/>
              </w:rPr>
            </w:pPr>
          </w:p>
          <w:p w14:paraId="164204B1" w14:textId="7DBABCFC" w:rsidR="000C6687" w:rsidRDefault="000C6687"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 xml:space="preserve">będzie to rachunek </w:t>
            </w:r>
            <w:r w:rsidRPr="00746469">
              <w:rPr>
                <w:rFonts w:cstheme="minorHAnsi"/>
                <w:sz w:val="18"/>
              </w:rPr>
              <w:lastRenderedPageBreak/>
              <w:t>bankowy cesjonariusza (banku kredytującego).</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lastRenderedPageBreak/>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C6687" w:rsidRPr="00172D0A" w:rsidRDefault="000C6687" w:rsidP="000C6687">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0C6687" w:rsidRDefault="000C6687" w:rsidP="000C6687">
            <w:pPr>
              <w:pStyle w:val="Akapitzlist"/>
              <w:numPr>
                <w:ilvl w:val="0"/>
                <w:numId w:val="24"/>
              </w:numPr>
              <w:ind w:left="176" w:hanging="142"/>
              <w:rPr>
                <w:sz w:val="18"/>
                <w:szCs w:val="18"/>
              </w:rPr>
            </w:pPr>
            <w:r w:rsidRPr="00BF70B6">
              <w:rPr>
                <w:sz w:val="18"/>
                <w:szCs w:val="18"/>
              </w:rPr>
              <w:lastRenderedPageBreak/>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Umowa - lub w </w:t>
            </w:r>
            <w:r w:rsidRPr="005B5DE6">
              <w:rPr>
                <w:sz w:val="18"/>
                <w:szCs w:val="18"/>
              </w:rPr>
              <w:lastRenderedPageBreak/>
              <w:t>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lastRenderedPageBreak/>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60861E2A" w:rsidR="000C6687" w:rsidRPr="005B5DE6" w:rsidRDefault="000C6687" w:rsidP="000C668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3E20B5"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E20B5">
        <w:rPr>
          <w:rFonts w:ascii="Arial" w:hAnsi="Arial" w:cs="Arial"/>
        </w:rPr>
      </w:r>
      <w:r w:rsidR="003E20B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3E20B5">
        <w:rPr>
          <w:rFonts w:ascii="Arial" w:eastAsia="TimesNewRoman" w:hAnsi="Arial" w:cs="Arial"/>
          <w:sz w:val="22"/>
          <w:szCs w:val="22"/>
        </w:rPr>
      </w:r>
      <w:r w:rsidR="003E20B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E20B5">
        <w:rPr>
          <w:rFonts w:ascii="Arial" w:eastAsia="TimesNewRoman" w:hAnsi="Arial" w:cs="Arial"/>
          <w:sz w:val="22"/>
          <w:szCs w:val="22"/>
        </w:rPr>
      </w:r>
      <w:r w:rsidR="003E20B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3E20B5">
        <w:rPr>
          <w:rFonts w:ascii="Arial" w:eastAsia="TimesNewRoman" w:hAnsi="Arial" w:cs="Arial"/>
          <w:sz w:val="22"/>
          <w:szCs w:val="22"/>
        </w:rPr>
      </w:r>
      <w:r w:rsidR="003E20B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20B5">
        <w:rPr>
          <w:rFonts w:ascii="Arial" w:eastAsia="TimesNewRoman" w:hAnsi="Arial" w:cs="Arial"/>
          <w:sz w:val="22"/>
          <w:szCs w:val="22"/>
        </w:rPr>
      </w:r>
      <w:r w:rsidR="003E20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20B5">
        <w:rPr>
          <w:rFonts w:ascii="Arial" w:eastAsia="TimesNewRoman" w:hAnsi="Arial" w:cs="Arial"/>
          <w:sz w:val="22"/>
          <w:szCs w:val="22"/>
        </w:rPr>
      </w:r>
      <w:r w:rsidR="003E20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20B5">
        <w:rPr>
          <w:rFonts w:ascii="Arial" w:eastAsia="TimesNewRoman" w:hAnsi="Arial" w:cs="Arial"/>
          <w:sz w:val="22"/>
          <w:szCs w:val="22"/>
        </w:rPr>
      </w:r>
      <w:r w:rsidR="003E20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20B5">
        <w:rPr>
          <w:rFonts w:ascii="Arial" w:eastAsia="TimesNewRoman" w:hAnsi="Arial" w:cs="Arial"/>
          <w:sz w:val="22"/>
          <w:szCs w:val="22"/>
        </w:rPr>
      </w:r>
      <w:r w:rsidR="003E20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20B5">
        <w:rPr>
          <w:rFonts w:ascii="Arial" w:eastAsia="TimesNewRoman" w:hAnsi="Arial" w:cs="Arial"/>
          <w:sz w:val="22"/>
          <w:szCs w:val="22"/>
        </w:rPr>
      </w:r>
      <w:r w:rsidR="003E20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E20B5">
        <w:rPr>
          <w:rFonts w:ascii="Arial" w:eastAsia="TimesNewRoman" w:hAnsi="Arial" w:cs="Arial"/>
          <w:sz w:val="22"/>
          <w:szCs w:val="22"/>
        </w:rPr>
      </w:r>
      <w:r w:rsidR="003E20B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DEEA5" w14:textId="77777777" w:rsidR="003E20B5" w:rsidRDefault="003E20B5">
      <w:r>
        <w:separator/>
      </w:r>
    </w:p>
  </w:endnote>
  <w:endnote w:type="continuationSeparator" w:id="0">
    <w:p w14:paraId="31E6A5B0" w14:textId="77777777" w:rsidR="003E20B5" w:rsidRDefault="003E2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AA3570" w:rsidRDefault="00AA35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A3570" w:rsidRDefault="00AA35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6C9F5E62" w:rsidR="00AA3570" w:rsidRPr="00697E05" w:rsidRDefault="00AA357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05348">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AA3570" w:rsidRDefault="00AA35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9F839" w14:textId="77777777" w:rsidR="003E20B5" w:rsidRDefault="003E20B5">
      <w:r>
        <w:separator/>
      </w:r>
    </w:p>
  </w:footnote>
  <w:footnote w:type="continuationSeparator" w:id="0">
    <w:p w14:paraId="0AC1676C" w14:textId="77777777" w:rsidR="003E20B5" w:rsidRDefault="003E20B5">
      <w:r>
        <w:continuationSeparator/>
      </w:r>
    </w:p>
  </w:footnote>
  <w:footnote w:id="1">
    <w:p w14:paraId="023F239A" w14:textId="77777777" w:rsidR="00AA3570" w:rsidRDefault="00AA357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A3570" w:rsidRPr="009C5AB2" w:rsidRDefault="00AA357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A3570" w:rsidRPr="009C5AB2" w:rsidRDefault="00AA357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A3570" w:rsidRPr="009C5AB2" w:rsidRDefault="00AA357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A3570" w:rsidRPr="00F364ED" w:rsidRDefault="00AA357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A3570" w:rsidRPr="003905FD" w:rsidRDefault="00AA357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A3570" w:rsidRDefault="00AA357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A3570" w:rsidRPr="005851A5" w:rsidRDefault="00AA357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A3570" w:rsidRPr="007D5E71" w:rsidRDefault="00AA357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AA3570" w:rsidRPr="00B21CF9" w:rsidRDefault="00AA357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AA3570" w:rsidRPr="00470455" w:rsidRDefault="00AA357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20B5"/>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0C9"/>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348"/>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19A"/>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C6A83-68C6-4DFE-BB3E-891CDFE1A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13777</Words>
  <Characters>82663</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Urszula Dzilińska (Szypulska)</cp:lastModifiedBy>
  <cp:revision>7</cp:revision>
  <cp:lastPrinted>2025-03-20T11:40:00Z</cp:lastPrinted>
  <dcterms:created xsi:type="dcterms:W3CDTF">2025-04-29T05:28:00Z</dcterms:created>
  <dcterms:modified xsi:type="dcterms:W3CDTF">2025-05-08T06:37:00Z</dcterms:modified>
</cp:coreProperties>
</file>