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68312" w14:textId="77777777" w:rsidR="000A25E9" w:rsidRDefault="000A25E9" w:rsidP="000A25E9">
      <w:pPr>
        <w:spacing w:line="252" w:lineRule="auto"/>
        <w:jc w:val="right"/>
        <w:rPr>
          <w:rFonts w:ascii="Calibri" w:eastAsia="Calibri" w:hAnsi="Calibri"/>
          <w:bCs/>
          <w:sz w:val="18"/>
          <w:szCs w:val="18"/>
          <w:lang w:eastAsia="en-US"/>
        </w:rPr>
      </w:pPr>
      <w:r>
        <w:rPr>
          <w:rFonts w:ascii="Calibri" w:eastAsia="Calibri" w:hAnsi="Calibri"/>
          <w:bCs/>
          <w:sz w:val="18"/>
          <w:szCs w:val="18"/>
          <w:lang w:eastAsia="en-US"/>
        </w:rPr>
        <w:t xml:space="preserve">Załącznik nr 3 do Regulaminu wyboru projektów </w:t>
      </w:r>
    </w:p>
    <w:p w14:paraId="5A2F2999" w14:textId="77777777" w:rsidR="000A25E9" w:rsidRDefault="000A25E9" w:rsidP="000A25E9">
      <w:pPr>
        <w:spacing w:line="252" w:lineRule="auto"/>
        <w:jc w:val="right"/>
        <w:rPr>
          <w:rFonts w:ascii="Calibri" w:eastAsia="Calibri" w:hAnsi="Calibri"/>
          <w:bCs/>
          <w:sz w:val="18"/>
          <w:szCs w:val="18"/>
          <w:lang w:eastAsia="en-US"/>
        </w:rPr>
      </w:pPr>
      <w:r>
        <w:rPr>
          <w:rFonts w:ascii="Calibri" w:eastAsia="Calibri" w:hAnsi="Calibri"/>
          <w:bCs/>
          <w:sz w:val="18"/>
          <w:szCs w:val="18"/>
          <w:lang w:eastAsia="en-US"/>
        </w:rPr>
        <w:t>w ramach naboru nr FEWM.04.02-IZ.00-002/24</w:t>
      </w:r>
    </w:p>
    <w:p w14:paraId="5E5BA72D" w14:textId="77777777" w:rsidR="000A25E9" w:rsidRDefault="000A25E9" w:rsidP="000A25E9">
      <w:pPr>
        <w:spacing w:line="252" w:lineRule="auto"/>
        <w:jc w:val="right"/>
        <w:rPr>
          <w:rFonts w:ascii="Calibri" w:eastAsia="Calibri" w:hAnsi="Calibri"/>
          <w:bCs/>
          <w:sz w:val="18"/>
          <w:szCs w:val="18"/>
          <w:lang w:eastAsia="en-US"/>
        </w:rPr>
      </w:pPr>
      <w:r>
        <w:rPr>
          <w:rFonts w:ascii="Calibri" w:eastAsia="Calibri" w:hAnsi="Calibri"/>
          <w:bCs/>
          <w:sz w:val="18"/>
          <w:szCs w:val="18"/>
          <w:lang w:eastAsia="en-US"/>
        </w:rPr>
        <w:t xml:space="preserve"> 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w:t>
            </w:r>
            <w:r w:rsidRPr="00D93B21">
              <w:rPr>
                <w:sz w:val="18"/>
                <w:szCs w:val="18"/>
              </w:rPr>
              <w:lastRenderedPageBreak/>
              <w:t>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lastRenderedPageBreak/>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0D5081"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04211223" w:rsidR="00CC575A" w:rsidRPr="00DF08AB" w:rsidRDefault="00CC575A" w:rsidP="00301705">
            <w:pPr>
              <w:rPr>
                <w:sz w:val="18"/>
                <w:szCs w:val="18"/>
              </w:rPr>
            </w:pPr>
            <w:r w:rsidRPr="00CC575A">
              <w:rPr>
                <w:sz w:val="18"/>
                <w:szCs w:val="18"/>
              </w:rPr>
              <w:lastRenderedPageBreak/>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 xml:space="preserve">W przypadku projektów partnerskich lub, w których występuje realizator, </w:t>
            </w:r>
            <w:r w:rsidRPr="00860B0D">
              <w:rPr>
                <w:sz w:val="18"/>
                <w:szCs w:val="18"/>
              </w:rPr>
              <w:lastRenderedPageBreak/>
              <w:t>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w:t>
            </w:r>
            <w:r w:rsidRPr="005B5DE6">
              <w:rPr>
                <w:sz w:val="18"/>
                <w:szCs w:val="18"/>
              </w:rPr>
              <w:lastRenderedPageBreak/>
              <w:t>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t>
            </w:r>
            <w:r w:rsidRPr="00D60BC8">
              <w:rPr>
                <w:rFonts w:cs="Calibri"/>
                <w:iCs/>
                <w:sz w:val="18"/>
                <w:szCs w:val="22"/>
              </w:rPr>
              <w:lastRenderedPageBreak/>
              <w:t>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 xml:space="preserve">Dokumenty powinny być aktualne to znaczy wystawione nie wcześniej niż na 3 miesiące przed dniem złożenia dokumentów wymaganych przed </w:t>
            </w:r>
            <w:r w:rsidRPr="00A400F1">
              <w:rPr>
                <w:rFonts w:asciiTheme="minorHAnsi" w:hAnsiTheme="minorHAnsi" w:cstheme="minorHAnsi"/>
                <w:sz w:val="18"/>
                <w:szCs w:val="22"/>
              </w:rPr>
              <w:lastRenderedPageBreak/>
              <w:t>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7919DEFB" w:rsidR="002F5404"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0D5081" w:rsidP="002F5404">
            <w:pPr>
              <w:rPr>
                <w:sz w:val="18"/>
                <w:szCs w:val="18"/>
              </w:rPr>
            </w:pPr>
            <w:hyperlink r:id="rId11"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lastRenderedPageBreak/>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77777777" w:rsidR="00CC575A" w:rsidRPr="00DF08AB" w:rsidRDefault="00CC575A" w:rsidP="00CC575A">
            <w:pPr>
              <w:rPr>
                <w:sz w:val="18"/>
                <w:szCs w:val="18"/>
              </w:rPr>
            </w:pPr>
            <w:r w:rsidRPr="00CC575A">
              <w:rPr>
                <w:sz w:val="18"/>
                <w:szCs w:val="18"/>
              </w:rPr>
              <w:t>https://uokik.gov.pl/nowe-zasady-pomocy-de-minimis</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 xml:space="preserve">Formularze informacji przedstawianych przy ubieganiu się o </w:t>
            </w:r>
            <w:r w:rsidRPr="00C70297">
              <w:rPr>
                <w:i/>
                <w:iCs/>
                <w:sz w:val="18"/>
                <w:szCs w:val="18"/>
              </w:rPr>
              <w:lastRenderedPageBreak/>
              <w:t>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lastRenderedPageBreak/>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w:t>
            </w:r>
            <w:r w:rsidRPr="00746469">
              <w:rPr>
                <w:sz w:val="18"/>
                <w:szCs w:val="18"/>
              </w:rPr>
              <w:lastRenderedPageBreak/>
              <w:t>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lastRenderedPageBreak/>
              <w:t>Dokument składany jest w przypadku gdy Wnioskodawcą jest osoba fizyczna prowadząca działalność gospodarczą pozostająca w związku małżeńskim</w:t>
            </w:r>
            <w:r w:rsidR="00F52231" w:rsidRPr="002F489E">
              <w:rPr>
                <w:iCs/>
                <w:sz w:val="18"/>
                <w:szCs w:val="18"/>
              </w:rPr>
              <w:t xml:space="preserve">, w </w:t>
            </w:r>
            <w:r w:rsidR="00F52231" w:rsidRPr="002F489E">
              <w:rPr>
                <w:iCs/>
                <w:sz w:val="18"/>
                <w:szCs w:val="18"/>
              </w:rPr>
              <w:lastRenderedPageBreak/>
              <w:t>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w:t>
            </w:r>
            <w:r w:rsidRPr="005B5DE6">
              <w:rPr>
                <w:sz w:val="18"/>
                <w:szCs w:val="18"/>
              </w:rPr>
              <w:lastRenderedPageBreak/>
              <w:t>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16D22D39"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0A25E9">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2CD3AA35" w:rsidR="00A60636" w:rsidRPr="000A25E9" w:rsidRDefault="00A60636" w:rsidP="00856120">
            <w:pPr>
              <w:rPr>
                <w:rFonts w:ascii="Arial" w:hAnsi="Arial" w:cs="Arial"/>
                <w:sz w:val="18"/>
                <w:szCs w:val="18"/>
              </w:rPr>
            </w:pPr>
            <w:r w:rsidRPr="000A25E9">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0A25E9">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D5081"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0A25E9">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F356F45"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0A25E9">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4FFA96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0A25E9">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0A25E9">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0A25E9">
              <w:rPr>
                <w:rFonts w:ascii="Arial" w:hAnsi="Arial" w:cs="Arial"/>
                <w:b/>
                <w:sz w:val="18"/>
                <w:u w:val="single"/>
              </w:rPr>
              <w:t>należy wyjaśnić czy projekt nie wyrządza znaczących szkód lub wnosi istotny wkład w realizację celu:</w:t>
            </w:r>
            <w:r w:rsidRPr="000A25E9">
              <w:rPr>
                <w:b/>
                <w:u w:val="single"/>
              </w:rPr>
              <w:t xml:space="preserve"> </w:t>
            </w:r>
            <w:r w:rsidRPr="000A25E9">
              <w:rPr>
                <w:rFonts w:ascii="Arial" w:hAnsi="Arial" w:cs="Arial"/>
                <w:b/>
                <w:sz w:val="18"/>
                <w:u w:val="single"/>
              </w:rPr>
              <w:t>gospodarka o obiegu zamkniętym, w tym zapobieganie powstawaniu odpadów i recykling.</w:t>
            </w:r>
            <w:r w:rsidRPr="000A25E9">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0A25E9">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0A25E9">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0A25E9">
              <w:rPr>
                <w:rFonts w:ascii="Arial" w:hAnsi="Arial" w:cs="Arial"/>
                <w:b/>
                <w:sz w:val="18"/>
                <w:u w:val="single"/>
              </w:rPr>
              <w:t>należy wyjaśnić czy projekt nie wyrządza znaczących szkód lub wnosi istotny wkład w realizację celu:</w:t>
            </w:r>
            <w:r w:rsidRPr="000A25E9">
              <w:rPr>
                <w:b/>
                <w:u w:val="single"/>
              </w:rPr>
              <w:t xml:space="preserve"> </w:t>
            </w:r>
            <w:r w:rsidRPr="000A25E9">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0A25E9">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0A25E9">
              <w:rPr>
                <w:rFonts w:ascii="Arial" w:hAnsi="Arial" w:cs="Arial"/>
                <w:b/>
                <w:sz w:val="18"/>
                <w:u w:val="single"/>
              </w:rPr>
              <w:t>należy wyjaśnić czy projekt nie wyrządza znaczących szkód lub wnosi istotny wkład w realizację celu:</w:t>
            </w:r>
            <w:r w:rsidRPr="000A25E9">
              <w:rPr>
                <w:b/>
                <w:u w:val="single"/>
              </w:rPr>
              <w:t xml:space="preserve"> </w:t>
            </w:r>
            <w:r w:rsidRPr="000A25E9">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B7A6C3B"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D5081">
        <w:rPr>
          <w:rFonts w:ascii="Arial" w:hAnsi="Arial" w:cs="Arial"/>
        </w:rPr>
      </w:r>
      <w:r w:rsidR="000D5081">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D5081">
        <w:rPr>
          <w:rFonts w:ascii="Arial" w:eastAsia="TimesNewRoman" w:hAnsi="Arial" w:cs="Arial"/>
          <w:sz w:val="22"/>
          <w:szCs w:val="22"/>
        </w:rPr>
      </w:r>
      <w:r w:rsidR="000D508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9F480" w14:textId="77777777" w:rsidR="000D5081" w:rsidRDefault="000D5081">
      <w:r>
        <w:separator/>
      </w:r>
    </w:p>
  </w:endnote>
  <w:endnote w:type="continuationSeparator" w:id="0">
    <w:p w14:paraId="38F4F9FE" w14:textId="77777777" w:rsidR="000D5081" w:rsidRDefault="000D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372E32" w:rsidRDefault="00372E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72E32" w:rsidRDefault="00372E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372E32" w:rsidRPr="00697E05" w:rsidRDefault="00372E32">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D6B9D">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372E32" w:rsidRDefault="00372E3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8677A" w14:textId="77777777" w:rsidR="000D5081" w:rsidRDefault="000D5081">
      <w:r>
        <w:separator/>
      </w:r>
    </w:p>
  </w:footnote>
  <w:footnote w:type="continuationSeparator" w:id="0">
    <w:p w14:paraId="771DA4A5" w14:textId="77777777" w:rsidR="000D5081" w:rsidRDefault="000D5081">
      <w:r>
        <w:continuationSeparator/>
      </w:r>
    </w:p>
  </w:footnote>
  <w:footnote w:id="1">
    <w:p w14:paraId="023F239A" w14:textId="77777777" w:rsidR="00372E32" w:rsidRDefault="00372E32"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72E32" w:rsidRPr="009C5AB2" w:rsidRDefault="00372E3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72E32" w:rsidRPr="009C5AB2" w:rsidRDefault="00372E3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72E32" w:rsidRPr="009C5AB2" w:rsidRDefault="00372E3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72E32" w:rsidRPr="00F364ED" w:rsidRDefault="00372E32">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72E32" w:rsidRPr="003905FD" w:rsidRDefault="00372E32"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72E32" w:rsidRDefault="00372E32"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72E32" w:rsidRPr="005851A5" w:rsidRDefault="00372E32"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72E32" w:rsidRPr="007D5E71" w:rsidRDefault="00372E32"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72E32" w:rsidRPr="00B21CF9" w:rsidRDefault="00372E32"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72E32" w:rsidRPr="00470455" w:rsidRDefault="00372E32"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5E9"/>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081"/>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13084536">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33012-283A-44B0-9143-26FD90A5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40</Pages>
  <Words>13718</Words>
  <Characters>82312</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Piskorz</cp:lastModifiedBy>
  <cp:revision>18</cp:revision>
  <cp:lastPrinted>2024-09-10T06:48:00Z</cp:lastPrinted>
  <dcterms:created xsi:type="dcterms:W3CDTF">2024-10-02T06:44:00Z</dcterms:created>
  <dcterms:modified xsi:type="dcterms:W3CDTF">2024-10-04T07:33:00Z</dcterms:modified>
</cp:coreProperties>
</file>