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685D8" w14:textId="77777777" w:rsidR="0024713A" w:rsidRDefault="0024713A" w:rsidP="0024713A">
      <w:pPr>
        <w:tabs>
          <w:tab w:val="left" w:pos="8400"/>
        </w:tabs>
        <w:spacing w:before="0" w:line="240" w:lineRule="auto"/>
        <w:ind w:left="-426" w:right="-34"/>
        <w:jc w:val="left"/>
        <w:rPr>
          <w:rFonts w:asciiTheme="minorHAnsi" w:hAnsiTheme="minorHAnsi" w:cstheme="minorHAnsi"/>
          <w:bCs/>
          <w:sz w:val="24"/>
          <w:szCs w:val="24"/>
        </w:rPr>
      </w:pPr>
      <w:bookmarkStart w:id="0" w:name="_Toc427236867"/>
      <w:r w:rsidRPr="005D6F0A">
        <w:rPr>
          <w:rFonts w:asciiTheme="minorHAnsi" w:hAnsiTheme="minorHAnsi" w:cstheme="minorHAnsi"/>
          <w:sz w:val="24"/>
          <w:szCs w:val="24"/>
        </w:rPr>
        <w:t xml:space="preserve">ZAŁĄCZNIK nr 3 </w:t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5D6F0A">
        <w:rPr>
          <w:rFonts w:asciiTheme="minorHAnsi" w:hAnsiTheme="minorHAnsi" w:cstheme="minorHAnsi"/>
          <w:bCs/>
          <w:sz w:val="24"/>
          <w:szCs w:val="24"/>
        </w:rPr>
        <w:t>Kryteria wyboru projektów</w:t>
      </w:r>
    </w:p>
    <w:p w14:paraId="7F698615" w14:textId="77777777" w:rsidR="0024713A" w:rsidRDefault="0024713A" w:rsidP="0024713A">
      <w:pPr>
        <w:tabs>
          <w:tab w:val="left" w:pos="8400"/>
        </w:tabs>
        <w:spacing w:before="0" w:line="240" w:lineRule="auto"/>
        <w:ind w:left="-426" w:right="-34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1A2006">
        <w:rPr>
          <w:noProof/>
        </w:rPr>
        <w:drawing>
          <wp:inline distT="0" distB="0" distL="0" distR="0" wp14:anchorId="0E49D2EF" wp14:editId="412DE5AE">
            <wp:extent cx="6505575" cy="622300"/>
            <wp:effectExtent l="0" t="0" r="0" b="0"/>
            <wp:docPr id="4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40698" w14:textId="77777777" w:rsidR="008B17DB" w:rsidRPr="00F27EFB" w:rsidRDefault="008B17DB" w:rsidP="00A44225">
      <w:pPr>
        <w:tabs>
          <w:tab w:val="left" w:pos="8400"/>
        </w:tabs>
        <w:spacing w:before="0" w:line="240" w:lineRule="auto"/>
        <w:ind w:left="9781" w:right="-34"/>
        <w:jc w:val="left"/>
        <w:rPr>
          <w:rFonts w:asciiTheme="minorHAnsi" w:hAnsiTheme="minorHAnsi" w:cstheme="minorHAnsi"/>
          <w:sz w:val="20"/>
          <w:szCs w:val="20"/>
        </w:rPr>
      </w:pPr>
    </w:p>
    <w:bookmarkEnd w:id="0"/>
    <w:p w14:paraId="458198A7" w14:textId="77777777" w:rsidR="001D39F9" w:rsidRPr="00A44225" w:rsidRDefault="001D39F9" w:rsidP="001D39F9">
      <w:pPr>
        <w:pStyle w:val="Default"/>
        <w:jc w:val="center"/>
        <w:rPr>
          <w:rFonts w:ascii="Calibri" w:eastAsiaTheme="minorHAnsi" w:hAnsi="Calibri" w:cs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Pr="00EB2BC8">
        <w:rPr>
          <w:rFonts w:asciiTheme="minorHAnsi" w:hAnsiTheme="minorHAnsi" w:cstheme="minorHAnsi"/>
          <w:b/>
          <w:bCs/>
          <w:sz w:val="22"/>
          <w:szCs w:val="22"/>
        </w:rPr>
        <w:t>ryteri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EB2BC8">
        <w:rPr>
          <w:rFonts w:asciiTheme="minorHAnsi" w:hAnsiTheme="minorHAnsi" w:cstheme="minorHAnsi"/>
          <w:b/>
          <w:bCs/>
          <w:sz w:val="22"/>
          <w:szCs w:val="22"/>
        </w:rPr>
        <w:t xml:space="preserve"> wyboru projektów </w:t>
      </w:r>
      <w:r w:rsidRPr="00985BC5">
        <w:rPr>
          <w:rFonts w:ascii="Calibri" w:eastAsiaTheme="minorHAnsi" w:hAnsi="Calibri" w:cs="Calibri"/>
          <w:b/>
          <w:bCs/>
          <w:sz w:val="22"/>
          <w:szCs w:val="22"/>
        </w:rPr>
        <w:t xml:space="preserve">dla Priorytetu 13 </w:t>
      </w:r>
      <w:r w:rsidRPr="00985BC5">
        <w:rPr>
          <w:rFonts w:ascii="Calibri" w:eastAsiaTheme="minorHAnsi" w:hAnsi="Calibri" w:cs="Calibri"/>
          <w:b/>
          <w:bCs/>
          <w:i/>
          <w:iCs/>
          <w:sz w:val="22"/>
          <w:szCs w:val="22"/>
        </w:rPr>
        <w:t xml:space="preserve">Pomoc techniczna EFRR </w:t>
      </w:r>
      <w:r w:rsidRPr="00985BC5">
        <w:rPr>
          <w:rFonts w:ascii="Calibri" w:eastAsiaTheme="minorHAnsi" w:hAnsi="Calibri" w:cs="Calibri"/>
          <w:b/>
          <w:bCs/>
          <w:sz w:val="22"/>
          <w:szCs w:val="22"/>
        </w:rPr>
        <w:t xml:space="preserve">i Priorytetu 14 </w:t>
      </w:r>
      <w:r w:rsidRPr="00985BC5">
        <w:rPr>
          <w:rFonts w:ascii="Calibri" w:eastAsiaTheme="minorHAnsi" w:hAnsi="Calibri" w:cs="Calibri"/>
          <w:b/>
          <w:bCs/>
          <w:i/>
          <w:iCs/>
          <w:sz w:val="22"/>
          <w:szCs w:val="22"/>
        </w:rPr>
        <w:t xml:space="preserve">Pomoc techniczna EFS+ </w:t>
      </w:r>
      <w:r w:rsidRPr="00985BC5">
        <w:rPr>
          <w:rFonts w:ascii="Calibri" w:eastAsiaTheme="minorHAnsi" w:hAnsi="Calibri" w:cs="Calibri"/>
          <w:b/>
          <w:bCs/>
          <w:sz w:val="22"/>
          <w:szCs w:val="22"/>
        </w:rPr>
        <w:t>programu regionalnego</w:t>
      </w:r>
      <w:r>
        <w:rPr>
          <w:rFonts w:ascii="Calibri" w:eastAsiaTheme="minorHAnsi" w:hAnsi="Calibri" w:cs="Calibri"/>
          <w:b/>
          <w:bCs/>
          <w:sz w:val="22"/>
          <w:szCs w:val="22"/>
        </w:rPr>
        <w:br/>
      </w:r>
      <w:r w:rsidRPr="00985BC5">
        <w:rPr>
          <w:rFonts w:ascii="Calibri" w:eastAsiaTheme="minorHAnsi" w:hAnsi="Calibri" w:cs="Calibri"/>
          <w:b/>
          <w:bCs/>
          <w:sz w:val="22"/>
          <w:szCs w:val="22"/>
        </w:rPr>
        <w:t>Fundusze Europejskie dla Warmii i Mazur 2021-2027</w:t>
      </w:r>
    </w:p>
    <w:tbl>
      <w:tblPr>
        <w:tblW w:w="1541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985"/>
        <w:gridCol w:w="6520"/>
        <w:gridCol w:w="1701"/>
        <w:gridCol w:w="4649"/>
      </w:tblGrid>
      <w:tr w:rsidR="001D39F9" w:rsidRPr="00BB3E70" w14:paraId="3E1BDD6C" w14:textId="77777777" w:rsidTr="005406E0">
        <w:trPr>
          <w:trHeight w:val="983"/>
        </w:trPr>
        <w:tc>
          <w:tcPr>
            <w:tcW w:w="15412" w:type="dxa"/>
            <w:gridSpan w:val="5"/>
            <w:shd w:val="clear" w:color="auto" w:fill="B8CCE4"/>
            <w:vAlign w:val="center"/>
          </w:tcPr>
          <w:p w14:paraId="3D353AC1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KRYTERIA WYBORU PROJEKTÓW</w:t>
            </w:r>
          </w:p>
        </w:tc>
      </w:tr>
      <w:tr w:rsidR="001D39F9" w:rsidRPr="00BB3E70" w14:paraId="04F6943E" w14:textId="77777777" w:rsidTr="005406E0">
        <w:trPr>
          <w:trHeight w:val="1413"/>
        </w:trPr>
        <w:tc>
          <w:tcPr>
            <w:tcW w:w="557" w:type="dxa"/>
            <w:shd w:val="clear" w:color="auto" w:fill="B8CCE4"/>
            <w:vAlign w:val="center"/>
          </w:tcPr>
          <w:p w14:paraId="4E0A53DF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B8CCE4"/>
            <w:vAlign w:val="center"/>
          </w:tcPr>
          <w:p w14:paraId="7D407178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6520" w:type="dxa"/>
            <w:shd w:val="clear" w:color="auto" w:fill="B8CCE4"/>
            <w:vAlign w:val="center"/>
          </w:tcPr>
          <w:p w14:paraId="2C4DF22B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Definicja</w:t>
            </w:r>
          </w:p>
        </w:tc>
        <w:tc>
          <w:tcPr>
            <w:tcW w:w="1701" w:type="dxa"/>
            <w:shd w:val="clear" w:color="auto" w:fill="B8CCE4"/>
            <w:vAlign w:val="center"/>
          </w:tcPr>
          <w:p w14:paraId="455032EA" w14:textId="77777777" w:rsidR="001D39F9" w:rsidRPr="00BB3E70" w:rsidRDefault="001D39F9" w:rsidP="005406E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Opis sposobu oceny kryterium</w:t>
            </w:r>
          </w:p>
        </w:tc>
        <w:tc>
          <w:tcPr>
            <w:tcW w:w="4649" w:type="dxa"/>
            <w:shd w:val="clear" w:color="auto" w:fill="B8CCE4"/>
          </w:tcPr>
          <w:p w14:paraId="30BE05F0" w14:textId="77777777" w:rsidR="001D39F9" w:rsidRPr="00BB3E70" w:rsidRDefault="001D39F9" w:rsidP="005406E0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B3E70">
              <w:rPr>
                <w:rFonts w:asciiTheme="minorHAnsi" w:hAnsiTheme="minorHAnsi" w:cstheme="minorHAnsi"/>
                <w:b/>
                <w:sz w:val="22"/>
                <w:szCs w:val="22"/>
              </w:rPr>
              <w:t>Opis znaczenia (czy spełnienie danego kryterium jest konieczne do przyznania dofinansowania, czy spełnienie danego kryterium jest stopniowalne, jaką wagę w ostatecznej ocenie ma ocena danego kryterium)</w:t>
            </w:r>
          </w:p>
        </w:tc>
      </w:tr>
      <w:tr w:rsidR="001D39F9" w:rsidRPr="00D44CAA" w14:paraId="21F3DEE6" w14:textId="77777777" w:rsidTr="005406E0">
        <w:trPr>
          <w:trHeight w:val="1119"/>
        </w:trPr>
        <w:tc>
          <w:tcPr>
            <w:tcW w:w="557" w:type="dxa"/>
            <w:vMerge w:val="restart"/>
            <w:vAlign w:val="center"/>
          </w:tcPr>
          <w:p w14:paraId="02A1D004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1985" w:type="dxa"/>
            <w:vMerge w:val="restart"/>
            <w:vAlign w:val="center"/>
          </w:tcPr>
          <w:p w14:paraId="14B5D37E" w14:textId="77777777" w:rsidR="001D39F9" w:rsidRPr="00224254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Terminowość i sposób złożenia w</w:t>
            </w:r>
            <w:r w:rsidRPr="00224254">
              <w:rPr>
                <w:rFonts w:asciiTheme="minorHAnsi" w:hAnsiTheme="minorHAnsi" w:cs="Arial"/>
                <w:sz w:val="22"/>
                <w:szCs w:val="22"/>
              </w:rPr>
              <w:t>nios</w:t>
            </w:r>
            <w:r>
              <w:rPr>
                <w:rFonts w:asciiTheme="minorHAnsi" w:hAnsiTheme="minorHAnsi" w:cs="Arial"/>
                <w:sz w:val="22"/>
                <w:szCs w:val="22"/>
              </w:rPr>
              <w:t>ku</w:t>
            </w:r>
            <w:r w:rsidRPr="00224254">
              <w:rPr>
                <w:rFonts w:asciiTheme="minorHAnsi" w:hAnsiTheme="minorHAnsi" w:cs="Arial"/>
                <w:sz w:val="22"/>
                <w:szCs w:val="22"/>
              </w:rPr>
              <w:t xml:space="preserve"> o dofinansowanie </w:t>
            </w:r>
            <w:r w:rsidRPr="00B61A7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wraz z załącznikami</w:t>
            </w:r>
          </w:p>
        </w:tc>
        <w:tc>
          <w:tcPr>
            <w:tcW w:w="6520" w:type="dxa"/>
            <w:vAlign w:val="center"/>
          </w:tcPr>
          <w:p w14:paraId="1E7F386F" w14:textId="77777777" w:rsidR="001D39F9" w:rsidRPr="00637CFE" w:rsidRDefault="001D39F9" w:rsidP="005406E0">
            <w:pPr>
              <w:ind w:left="33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1F2C38">
              <w:rPr>
                <w:rStyle w:val="markedcontent"/>
                <w:rFonts w:cs="Arial"/>
              </w:rPr>
              <w:t>W ramach kryterium ocenie podlegać będzie:</w:t>
            </w:r>
          </w:p>
        </w:tc>
        <w:tc>
          <w:tcPr>
            <w:tcW w:w="1701" w:type="dxa"/>
            <w:vAlign w:val="center"/>
          </w:tcPr>
          <w:p w14:paraId="11A4B286" w14:textId="77777777" w:rsidR="001D39F9" w:rsidRPr="00637CFE" w:rsidRDefault="001D39F9" w:rsidP="005406E0">
            <w:pPr>
              <w:jc w:val="center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76617AFE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27D6A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14B86AF2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C3A6B">
              <w:rPr>
                <w:rFonts w:asciiTheme="minorHAnsi" w:hAnsiTheme="minorHAnsi" w:cs="Arial"/>
                <w:sz w:val="22"/>
                <w:szCs w:val="22"/>
              </w:rPr>
              <w:t xml:space="preserve">Ocena spełniania danego kryterium polega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CC3A6B">
              <w:rPr>
                <w:rFonts w:asciiTheme="minorHAnsi" w:hAnsiTheme="minorHAnsi" w:cs="Arial"/>
                <w:sz w:val="22"/>
                <w:szCs w:val="22"/>
              </w:rPr>
              <w:t>na przypisaniu wartości logicznych „tak” lub „nie”.</w:t>
            </w:r>
          </w:p>
          <w:p w14:paraId="01EB8562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Kryterium jest zdefiniowane poprzez zestaw </w:t>
            </w:r>
            <w:r>
              <w:rPr>
                <w:rFonts w:asciiTheme="minorHAnsi" w:hAnsiTheme="minorHAnsi" w:cs="Arial"/>
                <w:sz w:val="22"/>
                <w:szCs w:val="22"/>
              </w:rPr>
              <w:t>pytań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 pomocniczych i uznaje się je za spełnione, jeżeli odpowied</w:t>
            </w:r>
            <w:r>
              <w:rPr>
                <w:rFonts w:asciiTheme="minorHAnsi" w:hAnsiTheme="minorHAnsi" w:cs="Arial"/>
                <w:sz w:val="22"/>
                <w:szCs w:val="22"/>
              </w:rPr>
              <w:t>ź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na wszystkie cząstkowe </w:t>
            </w:r>
            <w:r>
              <w:rPr>
                <w:rFonts w:asciiTheme="minorHAnsi" w:hAnsiTheme="minorHAnsi" w:cs="Arial"/>
                <w:sz w:val="22"/>
                <w:szCs w:val="22"/>
              </w:rPr>
              <w:t>pytania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będzie pozytywna (wartość logiczna: „Tak”).</w:t>
            </w:r>
          </w:p>
          <w:p w14:paraId="4368AE4F" w14:textId="77777777" w:rsidR="001D39F9" w:rsidRPr="00364BF7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64BF7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W trakcie oceny kryterium 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364BF7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364BF7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59042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364BF7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1D39F9" w:rsidRPr="00D44CAA" w14:paraId="2E04583F" w14:textId="77777777" w:rsidTr="005406E0">
        <w:trPr>
          <w:trHeight w:val="699"/>
        </w:trPr>
        <w:tc>
          <w:tcPr>
            <w:tcW w:w="557" w:type="dxa"/>
            <w:vMerge/>
            <w:vAlign w:val="center"/>
          </w:tcPr>
          <w:p w14:paraId="23BAF200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5E2B8AC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5D3940B" w14:textId="77777777" w:rsidR="001D39F9" w:rsidRPr="000017ED" w:rsidRDefault="001D39F9" w:rsidP="005406E0">
            <w:pPr>
              <w:pStyle w:val="Akapitzlist"/>
              <w:numPr>
                <w:ilvl w:val="0"/>
                <w:numId w:val="6"/>
              </w:numPr>
              <w:ind w:left="34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0017ED">
              <w:rPr>
                <w:rFonts w:asciiTheme="minorHAnsi" w:hAnsiTheme="minorHAnsi" w:cs="Arial"/>
                <w:sz w:val="22"/>
                <w:szCs w:val="22"/>
              </w:rPr>
              <w:t xml:space="preserve">Czy wniosek o dofinansowanie został złożony w wyznaczonym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0017ED">
              <w:rPr>
                <w:rFonts w:asciiTheme="minorHAnsi" w:hAnsiTheme="minorHAnsi" w:cs="Arial"/>
                <w:sz w:val="22"/>
                <w:szCs w:val="22"/>
              </w:rPr>
              <w:t>w ramach naboru terminie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0017E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wskazanym w </w:t>
            </w:r>
            <w:r w:rsidRPr="000017ED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ie</w:t>
            </w:r>
            <w:r w:rsidRPr="000017ED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wyboru projektów</w:t>
            </w:r>
            <w:r w:rsidRPr="000017ED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50E369F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F16CD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3F655896" w14:textId="77777777" w:rsidR="001D39F9" w:rsidRPr="00034A5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7E4FE51A" w14:textId="77777777" w:rsidTr="005406E0">
        <w:trPr>
          <w:trHeight w:val="699"/>
        </w:trPr>
        <w:tc>
          <w:tcPr>
            <w:tcW w:w="557" w:type="dxa"/>
            <w:vMerge/>
            <w:vAlign w:val="center"/>
          </w:tcPr>
          <w:p w14:paraId="77BA35FC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DB6013A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0A59F181" w14:textId="77777777" w:rsidR="001D39F9" w:rsidRPr="00637CFE" w:rsidRDefault="001D39F9" w:rsidP="005406E0">
            <w:pPr>
              <w:pStyle w:val="Akapitzlist"/>
              <w:numPr>
                <w:ilvl w:val="0"/>
                <w:numId w:val="6"/>
              </w:numPr>
              <w:ind w:left="340" w:hanging="284"/>
              <w:rPr>
                <w:rFonts w:asciiTheme="minorHAnsi" w:hAnsiTheme="minorHAnsi" w:cs="Arial"/>
                <w:sz w:val="22"/>
                <w:szCs w:val="22"/>
              </w:rPr>
            </w:pPr>
            <w:r w:rsidRPr="00637CFE">
              <w:rPr>
                <w:rFonts w:asciiTheme="minorHAnsi" w:hAnsiTheme="minorHAnsi" w:cs="Arial"/>
                <w:sz w:val="22"/>
                <w:szCs w:val="22"/>
              </w:rPr>
              <w:t>Czy wnios</w:t>
            </w:r>
            <w:r>
              <w:rPr>
                <w:rFonts w:asciiTheme="minorHAnsi" w:hAnsiTheme="minorHAnsi" w:cs="Arial"/>
                <w:sz w:val="22"/>
                <w:szCs w:val="22"/>
              </w:rPr>
              <w:t>ek</w:t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 xml:space="preserve"> o dofinansowanie został sporządzony i złożony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>za pośrednictwem właściwego systemu teleinformatycznego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 xml:space="preserve">tj. </w:t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WOD2021</w:t>
            </w:r>
            <w:r w:rsidRPr="00637CFE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379296C3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F16CD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DAE99D3" w14:textId="77777777" w:rsidR="001D39F9" w:rsidRPr="00034A5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3590B152" w14:textId="77777777" w:rsidTr="005406E0">
        <w:trPr>
          <w:trHeight w:val="699"/>
        </w:trPr>
        <w:tc>
          <w:tcPr>
            <w:tcW w:w="557" w:type="dxa"/>
            <w:vMerge/>
            <w:vAlign w:val="center"/>
          </w:tcPr>
          <w:p w14:paraId="5A151227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56637CF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6D77F1A3" w14:textId="77777777" w:rsidR="001D39F9" w:rsidRPr="003544EF" w:rsidRDefault="001D39F9" w:rsidP="005406E0">
            <w:pPr>
              <w:pStyle w:val="Akapitzlist"/>
              <w:numPr>
                <w:ilvl w:val="0"/>
                <w:numId w:val="6"/>
              </w:numPr>
              <w:ind w:left="340" w:hanging="284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Czy do wniosku o dofinansowanie załączono wszystkie załączniki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>we właściwej formie oraz w terminie</w:t>
            </w:r>
            <w:r w:rsidRPr="00281FC7">
              <w:rPr>
                <w:rFonts w:asciiTheme="minorHAnsi" w:hAnsiTheme="minorHAnsi" w:cs="Arial"/>
                <w:sz w:val="22"/>
                <w:szCs w:val="22"/>
              </w:rPr>
              <w:t xml:space="preserve"> zgodnie z </w:t>
            </w:r>
            <w:r w:rsidRPr="0041753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Regulaminem wyboru projektów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2D7DFAB8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F1C35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5082C1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0733C23A" w14:textId="77777777" w:rsidTr="005406E0">
        <w:trPr>
          <w:trHeight w:val="3056"/>
        </w:trPr>
        <w:tc>
          <w:tcPr>
            <w:tcW w:w="557" w:type="dxa"/>
            <w:vAlign w:val="center"/>
          </w:tcPr>
          <w:p w14:paraId="0AEF6265" w14:textId="77777777" w:rsidR="001D39F9" w:rsidRPr="00E17960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17960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1985" w:type="dxa"/>
            <w:vAlign w:val="center"/>
          </w:tcPr>
          <w:p w14:paraId="1C9E7ABC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Kompletność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 xml:space="preserve">i spójność </w:t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wniosku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 dofinansowanie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>i załączników</w:t>
            </w:r>
          </w:p>
        </w:tc>
        <w:tc>
          <w:tcPr>
            <w:tcW w:w="6520" w:type="dxa"/>
            <w:vAlign w:val="center"/>
          </w:tcPr>
          <w:p w14:paraId="06D74110" w14:textId="77777777" w:rsidR="001D39F9" w:rsidRPr="00F50DF8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50DF8">
              <w:rPr>
                <w:rFonts w:asciiTheme="minorHAnsi" w:hAnsiTheme="minorHAnsi" w:cs="Arial"/>
                <w:sz w:val="22"/>
                <w:szCs w:val="22"/>
              </w:rPr>
              <w:t xml:space="preserve">Czy wniosek o dofinansowanie i załączniki są kompletne, spójne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F50DF8">
              <w:rPr>
                <w:rFonts w:asciiTheme="minorHAnsi" w:hAnsiTheme="minorHAnsi" w:cs="Arial"/>
                <w:sz w:val="22"/>
                <w:szCs w:val="22"/>
              </w:rPr>
              <w:t xml:space="preserve">i sporządzone zgodnie z instrukcją wypełniania wniosku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F50DF8">
              <w:rPr>
                <w:rFonts w:asciiTheme="minorHAnsi" w:hAnsiTheme="minorHAnsi" w:cs="Arial"/>
                <w:sz w:val="22"/>
                <w:szCs w:val="22"/>
              </w:rPr>
              <w:t xml:space="preserve">o dofinansowanie, stanowiącą załącznik do </w:t>
            </w:r>
            <w:r w:rsidRPr="006F264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Regulaminu wyboru projektów</w:t>
            </w:r>
            <w:r w:rsidRPr="00F50DF8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0AE7B03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95DE9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Align w:val="center"/>
          </w:tcPr>
          <w:p w14:paraId="75603107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E013A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0645CDD6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Ocena spełniania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danego kryterium </w:t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 xml:space="preserve">polega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795DE9">
              <w:rPr>
                <w:rFonts w:asciiTheme="minorHAnsi" w:hAnsiTheme="minorHAnsi" w:cs="Arial"/>
                <w:sz w:val="22"/>
                <w:szCs w:val="22"/>
              </w:rPr>
              <w:t>na przypisaniu wartości logicznych „tak” lub „nie”.</w:t>
            </w:r>
          </w:p>
          <w:p w14:paraId="3EF63A9F" w14:textId="77777777" w:rsidR="001D39F9" w:rsidRPr="00D44CAA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5400">
              <w:rPr>
                <w:rFonts w:asciiTheme="minorHAnsi" w:hAnsiTheme="minorHAnsi" w:cs="Arial"/>
                <w:sz w:val="22"/>
                <w:szCs w:val="22"/>
              </w:rPr>
              <w:t xml:space="preserve">W trakcie oceny kryterium 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035400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035400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03540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035400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1D39F9" w:rsidRPr="00D44CAA" w14:paraId="157EE9DC" w14:textId="77777777" w:rsidTr="005406E0">
        <w:trPr>
          <w:trHeight w:val="1975"/>
        </w:trPr>
        <w:tc>
          <w:tcPr>
            <w:tcW w:w="557" w:type="dxa"/>
            <w:vMerge w:val="restart"/>
            <w:vAlign w:val="center"/>
          </w:tcPr>
          <w:p w14:paraId="67AEE417" w14:textId="77777777" w:rsidR="001D39F9" w:rsidRPr="005F5DA2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Pr="005F5DA2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14:paraId="3B7128F6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 xml:space="preserve">Zgodność </w:t>
            </w:r>
            <w:r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>rojektu 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>z dokumentami programowymi</w:t>
            </w:r>
          </w:p>
        </w:tc>
        <w:tc>
          <w:tcPr>
            <w:tcW w:w="6520" w:type="dxa"/>
            <w:vAlign w:val="center"/>
          </w:tcPr>
          <w:p w14:paraId="7F3D40B4" w14:textId="452197F4" w:rsidR="001D39F9" w:rsidRPr="00701AAD" w:rsidRDefault="001D39F9" w:rsidP="005406E0">
            <w:pPr>
              <w:suppressAutoHyphens w:val="0"/>
              <w:spacing w:before="0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Zakres projektu zostanie przeanalizowany pod kątem zapisów dokumentów programowych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</w:t>
            </w:r>
            <w:r w:rsidRPr="001129FC">
              <w:rPr>
                <w:rFonts w:asciiTheme="minorHAnsi" w:hAnsiTheme="minorHAnsi" w:cs="Arial"/>
                <w:sz w:val="22"/>
                <w:szCs w:val="22"/>
              </w:rPr>
              <w:t xml:space="preserve">w szczególności: programu </w:t>
            </w:r>
            <w:r>
              <w:rPr>
                <w:rFonts w:asciiTheme="minorHAnsi" w:hAnsiTheme="minorHAnsi" w:cs="Arial"/>
                <w:sz w:val="22"/>
                <w:szCs w:val="22"/>
              </w:rPr>
              <w:t>FEWiM 2021-2027</w:t>
            </w:r>
            <w:r w:rsidRPr="001129FC">
              <w:rPr>
                <w:rFonts w:asciiTheme="minorHAnsi" w:hAnsiTheme="minorHAnsi" w:cs="Arial"/>
                <w:sz w:val="22"/>
                <w:szCs w:val="22"/>
              </w:rPr>
              <w:t xml:space="preserve">, SZOP, </w:t>
            </w:r>
            <w:r w:rsidRPr="004722FB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wykorzystania środków pomocy technicznej na lata 2021-2027</w:t>
            </w:r>
            <w:r>
              <w:rPr>
                <w:rStyle w:val="Odwoanieprzypisudolnego"/>
                <w:szCs w:val="22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="00A34FD5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tj.:</w:t>
            </w:r>
          </w:p>
        </w:tc>
        <w:tc>
          <w:tcPr>
            <w:tcW w:w="1701" w:type="dxa"/>
            <w:vAlign w:val="center"/>
          </w:tcPr>
          <w:p w14:paraId="6BE82356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43A09473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26BE383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01EF7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0003C301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B5CA980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CDF5D73" w14:textId="77777777" w:rsidR="001D39F9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010D88C" w14:textId="77777777" w:rsidR="001D39F9" w:rsidRDefault="001D39F9" w:rsidP="005406E0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1504F8B" w14:textId="77777777" w:rsidR="001D39F9" w:rsidRDefault="001D39F9" w:rsidP="005406E0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1087BC8" w14:textId="77777777" w:rsidR="001D39F9" w:rsidRDefault="001D39F9" w:rsidP="005406E0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Ocena spełniania danego kryterium polega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>na przypisaniu wartości logicznych „tak” lub „nie”.</w:t>
            </w:r>
          </w:p>
          <w:p w14:paraId="1D81A444" w14:textId="77777777" w:rsidR="001D39F9" w:rsidRDefault="001D39F9" w:rsidP="005406E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621B4E">
              <w:rPr>
                <w:rFonts w:asciiTheme="minorHAnsi" w:hAnsiTheme="minorHAnsi" w:cs="Arial"/>
                <w:sz w:val="22"/>
                <w:szCs w:val="22"/>
              </w:rPr>
              <w:t xml:space="preserve">Kryterium jest zdefiniowane poprzez zestaw zagadnień pomocniczych i uznaje się je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21B4E">
              <w:rPr>
                <w:rFonts w:asciiTheme="minorHAnsi" w:hAnsiTheme="minorHAnsi" w:cs="Arial"/>
                <w:sz w:val="22"/>
                <w:szCs w:val="22"/>
              </w:rPr>
              <w:t>za spełnione, jeżeli odpowiedź na wszystkie cząstkowe zagadnienia będzie pozytywna (wartość logiczna: „Tak”).</w:t>
            </w:r>
          </w:p>
          <w:p w14:paraId="11877ACE" w14:textId="77777777" w:rsidR="001D39F9" w:rsidRPr="00D01EF7" w:rsidRDefault="001D39F9" w:rsidP="005406E0">
            <w:pPr>
              <w:spacing w:after="120"/>
              <w:rPr>
                <w:rFonts w:asciiTheme="minorHAnsi" w:hAnsiTheme="minorHAnsi" w:cs="Arial"/>
                <w:sz w:val="22"/>
                <w:szCs w:val="22"/>
              </w:rPr>
            </w:pP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(IZ PT FEWiM 2021-2027 przewiduje możliwość poprawy i uzupełnienia projektu w części spełniania kryterium, w zakresie określonym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 xml:space="preserve">w </w:t>
            </w:r>
            <w:r w:rsidRPr="00D01EF7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D01EF7">
              <w:rPr>
                <w:rFonts w:asciiTheme="minorHAnsi" w:hAnsiTheme="minorHAnsi" w:cs="Arial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1D39F9" w:rsidRPr="00D44CAA" w14:paraId="5047DF7D" w14:textId="77777777" w:rsidTr="005406E0">
        <w:trPr>
          <w:trHeight w:val="2423"/>
        </w:trPr>
        <w:tc>
          <w:tcPr>
            <w:tcW w:w="557" w:type="dxa"/>
            <w:vMerge/>
            <w:vAlign w:val="center"/>
          </w:tcPr>
          <w:p w14:paraId="40DE592A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D0F7B9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4605602B" w14:textId="77777777" w:rsidR="001D39F9" w:rsidRPr="00701AAD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 w:line="276" w:lineRule="auto"/>
              <w:ind w:left="459" w:hanging="459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 xml:space="preserve">zy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zadania przewidziane </w:t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 xml:space="preserve">w projekcie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są zgodne z opisem działań przedstawionych w priorytetach PT (EFS+ i EFRR) </w:t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 xml:space="preserve">wskazanych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Programie FEWiM 2021-2027 i </w:t>
            </w:r>
            <w:r w:rsidRPr="00701AAD">
              <w:rPr>
                <w:rFonts w:asciiTheme="minorHAnsi" w:hAnsiTheme="minorHAnsi" w:cs="Arial"/>
                <w:sz w:val="22"/>
                <w:szCs w:val="22"/>
              </w:rPr>
              <w:t>SZOP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57472551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F6F6A24" w14:textId="77777777" w:rsidR="001D39F9" w:rsidRPr="00D01EF7" w:rsidRDefault="001D39F9" w:rsidP="005406E0">
            <w:pPr>
              <w:spacing w:after="24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7A095E6A" w14:textId="77777777" w:rsidTr="005406E0">
        <w:trPr>
          <w:trHeight w:val="1095"/>
        </w:trPr>
        <w:tc>
          <w:tcPr>
            <w:tcW w:w="557" w:type="dxa"/>
            <w:vMerge/>
            <w:vAlign w:val="center"/>
          </w:tcPr>
          <w:p w14:paraId="70559446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1E2647C7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3D9C6AFE" w14:textId="77777777" w:rsidR="001D39F9" w:rsidRPr="00A01FEB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60" w:hanging="460"/>
              <w:rPr>
                <w:rFonts w:asciiTheme="minorHAnsi" w:hAnsiTheme="minorHAnsi" w:cs="Arial"/>
                <w:sz w:val="22"/>
                <w:szCs w:val="22"/>
              </w:rPr>
            </w:pP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Czy okres realizacji projektu mieści się w okresie kwalifikowalności wydatków określonym w art. 63 </w:t>
            </w:r>
            <w:r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Rozporządzenia Parlamentu Europejskiego i Rady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(UE) 2021/1060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</w:rPr>
              <w:t>tj. 0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1.</w:t>
            </w:r>
            <w:r>
              <w:rPr>
                <w:rFonts w:asciiTheme="minorHAnsi" w:hAnsiTheme="minorHAnsi" w:cs="Arial"/>
                <w:sz w:val="22"/>
                <w:szCs w:val="22"/>
              </w:rPr>
              <w:t>01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.2021-31.</w:t>
            </w:r>
            <w:r>
              <w:rPr>
                <w:rFonts w:asciiTheme="minorHAnsi" w:hAnsiTheme="minorHAnsi" w:cs="Arial"/>
                <w:sz w:val="22"/>
                <w:szCs w:val="22"/>
              </w:rPr>
              <w:t>12</w:t>
            </w:r>
            <w:r w:rsidRPr="00A61488">
              <w:rPr>
                <w:rFonts w:asciiTheme="minorHAnsi" w:hAnsiTheme="minorHAnsi" w:cs="Arial"/>
                <w:sz w:val="22"/>
                <w:szCs w:val="22"/>
              </w:rPr>
              <w:t>.2029)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34C179FA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7D712E47" w14:textId="77777777" w:rsidR="001D39F9" w:rsidRPr="000E698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1A8CA872" w14:textId="77777777" w:rsidTr="005406E0">
        <w:trPr>
          <w:trHeight w:val="1095"/>
        </w:trPr>
        <w:tc>
          <w:tcPr>
            <w:tcW w:w="557" w:type="dxa"/>
            <w:vMerge/>
            <w:vAlign w:val="center"/>
          </w:tcPr>
          <w:p w14:paraId="5477F5D4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191EA075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46FE6532" w14:textId="77777777" w:rsidR="001D39F9" w:rsidRPr="00D44CAA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60" w:hanging="460"/>
              <w:rPr>
                <w:rFonts w:asciiTheme="minorHAnsi" w:hAnsiTheme="minorHAnsi" w:cs="Arial"/>
                <w:szCs w:val="22"/>
              </w:rPr>
            </w:pPr>
            <w:r w:rsidRPr="00A01FEB">
              <w:rPr>
                <w:rFonts w:asciiTheme="minorHAnsi" w:hAnsiTheme="minorHAnsi" w:cs="Arial"/>
                <w:sz w:val="22"/>
                <w:szCs w:val="22"/>
              </w:rPr>
              <w:t xml:space="preserve">Czy w projekcie zapewniono udział właściwych typów beneficjentów i grup docelowych zgodnie z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Programem FEWiM 2021-2027 i </w:t>
            </w:r>
            <w:r w:rsidRPr="00A01FEB">
              <w:rPr>
                <w:rFonts w:asciiTheme="minorHAnsi" w:hAnsiTheme="minorHAnsi" w:cs="Arial"/>
                <w:sz w:val="22"/>
                <w:szCs w:val="22"/>
              </w:rPr>
              <w:t>SZOP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287D0DF3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608CF47F" w14:textId="77777777" w:rsidR="001D39F9" w:rsidRPr="000E698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6C9284DB" w14:textId="77777777" w:rsidTr="005406E0">
        <w:trPr>
          <w:trHeight w:val="1401"/>
        </w:trPr>
        <w:tc>
          <w:tcPr>
            <w:tcW w:w="557" w:type="dxa"/>
            <w:vMerge/>
            <w:vAlign w:val="center"/>
          </w:tcPr>
          <w:p w14:paraId="2126DE01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6B1F95DE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35C546C2" w14:textId="77777777" w:rsidR="001D39F9" w:rsidRPr="00D44CAA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60" w:hanging="460"/>
              <w:rPr>
                <w:rFonts w:asciiTheme="minorHAnsi" w:hAnsiTheme="minorHAnsi" w:cs="Arial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>Czy  wskaźniki zostały dobrane prawidłowo w kontekście działań i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>kategorii interwencji w stosunku do zadań/kategorii kosztów zaplanowanych do realizacji projektu?</w:t>
            </w:r>
          </w:p>
        </w:tc>
        <w:tc>
          <w:tcPr>
            <w:tcW w:w="1701" w:type="dxa"/>
            <w:vAlign w:val="center"/>
          </w:tcPr>
          <w:p w14:paraId="6C384389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4583CE6A" w14:textId="77777777" w:rsidR="001D39F9" w:rsidRPr="00D01EF7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22ACFF41" w14:textId="77777777" w:rsidTr="005406E0">
        <w:trPr>
          <w:trHeight w:val="841"/>
        </w:trPr>
        <w:tc>
          <w:tcPr>
            <w:tcW w:w="557" w:type="dxa"/>
            <w:vMerge/>
            <w:vAlign w:val="center"/>
          </w:tcPr>
          <w:p w14:paraId="4BFFC948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2ED9B596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117FA94" w14:textId="77777777" w:rsidR="001D39F9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w</w:t>
            </w:r>
            <w:r w:rsidRPr="00524F66">
              <w:rPr>
                <w:rFonts w:asciiTheme="minorHAnsi" w:hAnsiTheme="minorHAnsi" w:cs="Arial"/>
                <w:sz w:val="22"/>
                <w:szCs w:val="22"/>
              </w:rPr>
              <w:t>ydatki przedstawione w projekcie są kwalifikowa</w:t>
            </w:r>
            <w:r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Pr="00524F66">
              <w:rPr>
                <w:rFonts w:asciiTheme="minorHAnsi" w:hAnsiTheme="minorHAnsi" w:cs="Arial"/>
                <w:sz w:val="22"/>
                <w:szCs w:val="22"/>
              </w:rPr>
              <w:t>ne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>i odpowiednio uzasadnione w zakresie konieczności ich poniesienia?</w:t>
            </w:r>
          </w:p>
          <w:p w14:paraId="3FF4FDB8" w14:textId="77777777" w:rsidR="001D39F9" w:rsidRPr="00D4169F" w:rsidRDefault="001D39F9" w:rsidP="005406E0">
            <w:pPr>
              <w:suppressAutoHyphens w:val="0"/>
              <w:spacing w:before="0"/>
              <w:ind w:left="466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Pytanie cząstkowe uznaje się za spełnione  jeżeli wydatki przedstawione w projekcie są zgodne z katalogiem </w:t>
            </w:r>
            <w:r>
              <w:rPr>
                <w:rFonts w:asciiTheme="minorHAnsi" w:hAnsiTheme="minorHAnsi" w:cs="Arial"/>
                <w:sz w:val="22"/>
                <w:szCs w:val="22"/>
              </w:rPr>
              <w:t>wydatków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kwalifikowalnych zawartych w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wykorzystania środków pomocy technicznej na 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oraz w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kwalifikowalności wydatków na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14:paraId="34B662B9" w14:textId="77777777" w:rsidR="001D39F9" w:rsidRPr="00E15FB1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4CAA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53F615BE" w14:textId="77777777" w:rsidR="001D39F9" w:rsidRPr="00D01EF7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D44CAA" w14:paraId="647677BC" w14:textId="77777777" w:rsidTr="005406E0">
        <w:trPr>
          <w:trHeight w:val="841"/>
        </w:trPr>
        <w:tc>
          <w:tcPr>
            <w:tcW w:w="557" w:type="dxa"/>
            <w:vMerge/>
            <w:vAlign w:val="center"/>
          </w:tcPr>
          <w:p w14:paraId="61C9234C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</w:tcPr>
          <w:p w14:paraId="7C5C0DC5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28945BC" w14:textId="77777777" w:rsidR="001D39F9" w:rsidRDefault="001D39F9" w:rsidP="005406E0">
            <w:pPr>
              <w:suppressAutoHyphens w:val="0"/>
              <w:spacing w:before="0" w:line="276" w:lineRule="auto"/>
              <w:ind w:left="448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7453137" w14:textId="77777777" w:rsidR="001D39F9" w:rsidRPr="00524F66" w:rsidRDefault="001D39F9" w:rsidP="005406E0">
            <w:pPr>
              <w:pStyle w:val="Akapitzlist"/>
              <w:numPr>
                <w:ilvl w:val="0"/>
                <w:numId w:val="11"/>
              </w:numPr>
              <w:suppressAutoHyphens w:val="0"/>
              <w:spacing w:before="0"/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AE2165">
              <w:rPr>
                <w:rFonts w:asciiTheme="minorHAnsi" w:hAnsiTheme="minorHAnsi" w:cs="Arial"/>
                <w:sz w:val="22"/>
                <w:szCs w:val="22"/>
              </w:rPr>
              <w:t>Czy wydatki całego projektu oraz poszczególnych zadań zaplanowano w sposób przejrzysty, rzetelny, staranny i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AE2165">
              <w:rPr>
                <w:rFonts w:asciiTheme="minorHAnsi" w:hAnsiTheme="minorHAnsi" w:cs="Arial"/>
                <w:sz w:val="22"/>
                <w:szCs w:val="22"/>
              </w:rPr>
              <w:t>adekwatny oraz umożliwiający osiągnięcie założonych celów przy wskazanych nakładach finansowych, zaś charakter planowanych wydatków w uzasadniony sposób odpowiada celom projektu?</w:t>
            </w:r>
          </w:p>
        </w:tc>
        <w:tc>
          <w:tcPr>
            <w:tcW w:w="1701" w:type="dxa"/>
            <w:vAlign w:val="center"/>
          </w:tcPr>
          <w:p w14:paraId="547DBE75" w14:textId="77777777" w:rsidR="001D39F9" w:rsidRPr="00D44CAA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15FB1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tcBorders>
              <w:bottom w:val="single" w:sz="4" w:space="0" w:color="auto"/>
            </w:tcBorders>
            <w:vAlign w:val="center"/>
          </w:tcPr>
          <w:p w14:paraId="7700602C" w14:textId="77777777" w:rsidR="001D39F9" w:rsidRPr="00D01EF7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52999F0F" w14:textId="77777777" w:rsidTr="005406E0">
        <w:trPr>
          <w:trHeight w:val="479"/>
        </w:trPr>
        <w:tc>
          <w:tcPr>
            <w:tcW w:w="557" w:type="dxa"/>
            <w:vMerge w:val="restart"/>
            <w:vAlign w:val="center"/>
          </w:tcPr>
          <w:p w14:paraId="2FDC5BF6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4.</w:t>
            </w:r>
          </w:p>
        </w:tc>
        <w:tc>
          <w:tcPr>
            <w:tcW w:w="1985" w:type="dxa"/>
            <w:vMerge w:val="restart"/>
            <w:vAlign w:val="center"/>
          </w:tcPr>
          <w:p w14:paraId="33C0BF17" w14:textId="77777777" w:rsidR="001D39F9" w:rsidRPr="00C71E10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71E10">
              <w:rPr>
                <w:rFonts w:asciiTheme="minorHAnsi" w:hAnsiTheme="minorHAnsi" w:cs="Arial"/>
                <w:sz w:val="22"/>
                <w:szCs w:val="22"/>
              </w:rPr>
              <w:t>Wykonalność finansowa projektu</w:t>
            </w:r>
          </w:p>
        </w:tc>
        <w:tc>
          <w:tcPr>
            <w:tcW w:w="6520" w:type="dxa"/>
            <w:vAlign w:val="center"/>
          </w:tcPr>
          <w:p w14:paraId="046F9D37" w14:textId="77777777" w:rsidR="001D39F9" w:rsidRPr="00C71E10" w:rsidRDefault="001D39F9" w:rsidP="005406E0">
            <w:pPr>
              <w:suppressAutoHyphens w:val="0"/>
              <w:spacing w:before="0" w:line="240" w:lineRule="auto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Budżet projektu zostanie przeanalizowany pod następującym kątem:</w:t>
            </w:r>
          </w:p>
        </w:tc>
        <w:tc>
          <w:tcPr>
            <w:tcW w:w="1701" w:type="dxa"/>
            <w:vAlign w:val="center"/>
          </w:tcPr>
          <w:p w14:paraId="48EF01E0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49" w:type="dxa"/>
            <w:vMerge w:val="restart"/>
            <w:tcBorders>
              <w:top w:val="single" w:sz="4" w:space="0" w:color="auto"/>
            </w:tcBorders>
            <w:vAlign w:val="center"/>
          </w:tcPr>
          <w:p w14:paraId="1427BF60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27D6A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53E586E9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C3A6B">
              <w:rPr>
                <w:rFonts w:asciiTheme="minorHAnsi" w:hAnsiTheme="minorHAnsi" w:cs="Arial"/>
                <w:sz w:val="22"/>
                <w:szCs w:val="22"/>
              </w:rPr>
              <w:t xml:space="preserve">Ocena spełniania danego kryterium polega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CC3A6B">
              <w:rPr>
                <w:rFonts w:asciiTheme="minorHAnsi" w:hAnsiTheme="minorHAnsi" w:cs="Arial"/>
                <w:sz w:val="22"/>
                <w:szCs w:val="22"/>
              </w:rPr>
              <w:t>na przypisaniu wartości logicznych „tak” lub „nie”.</w:t>
            </w:r>
          </w:p>
          <w:p w14:paraId="27758BF6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Kryterium jest zdefiniowane poprzez zestaw </w:t>
            </w:r>
            <w:r>
              <w:rPr>
                <w:rFonts w:asciiTheme="minorHAnsi" w:hAnsiTheme="minorHAnsi" w:cs="Arial"/>
                <w:sz w:val="22"/>
                <w:szCs w:val="22"/>
              </w:rPr>
              <w:t>pytań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 pomocniczych i uznaje się je za spełnione, jeżeli odpowied</w:t>
            </w:r>
            <w:r>
              <w:rPr>
                <w:rFonts w:asciiTheme="minorHAnsi" w:hAnsiTheme="minorHAnsi" w:cs="Arial"/>
                <w:sz w:val="22"/>
                <w:szCs w:val="22"/>
              </w:rPr>
              <w:t>ź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na wszystkie cząstkowe </w:t>
            </w:r>
            <w:r>
              <w:rPr>
                <w:rFonts w:asciiTheme="minorHAnsi" w:hAnsiTheme="minorHAnsi" w:cs="Arial"/>
                <w:sz w:val="22"/>
                <w:szCs w:val="22"/>
              </w:rPr>
              <w:t>pytania</w:t>
            </w:r>
            <w:r w:rsidRPr="00210D26">
              <w:rPr>
                <w:rFonts w:asciiTheme="minorHAnsi" w:hAnsiTheme="minorHAnsi" w:cs="Arial"/>
                <w:sz w:val="22"/>
                <w:szCs w:val="22"/>
              </w:rPr>
              <w:t xml:space="preserve"> będzie pozytywna (wartość logiczna: „Tak”).</w:t>
            </w:r>
          </w:p>
          <w:p w14:paraId="638724BF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6F4A78">
              <w:rPr>
                <w:rFonts w:asciiTheme="minorHAnsi" w:hAnsiTheme="minorHAnsi" w:cs="Arial"/>
                <w:sz w:val="22"/>
                <w:szCs w:val="22"/>
              </w:rPr>
              <w:t xml:space="preserve">W trakcie oceny kryterium 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C82D54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1D39F9" w:rsidRPr="00E27E7F" w14:paraId="03FD97AD" w14:textId="77777777" w:rsidTr="005406E0">
        <w:trPr>
          <w:trHeight w:val="1260"/>
        </w:trPr>
        <w:tc>
          <w:tcPr>
            <w:tcW w:w="557" w:type="dxa"/>
            <w:vMerge/>
            <w:vAlign w:val="center"/>
          </w:tcPr>
          <w:p w14:paraId="6A77DCF6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364B365" w14:textId="77777777" w:rsidR="001D39F9" w:rsidRPr="0098539B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</w:tcPr>
          <w:p w14:paraId="1942DDFE" w14:textId="77777777" w:rsidR="001D39F9" w:rsidRPr="006920B3" w:rsidRDefault="001D39F9" w:rsidP="005406E0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Czy w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 xml:space="preserve">artość projektu </w:t>
            </w:r>
            <w:r>
              <w:rPr>
                <w:rFonts w:asciiTheme="minorHAnsi" w:hAnsiTheme="minorHAnsi" w:cs="Arial"/>
                <w:sz w:val="22"/>
                <w:szCs w:val="22"/>
              </w:rPr>
              <w:t>nie przekracza</w:t>
            </w:r>
            <w:r>
              <w:t xml:space="preserve"> wysokości </w:t>
            </w:r>
            <w:r w:rsidRPr="00171C66">
              <w:rPr>
                <w:rFonts w:asciiTheme="minorHAnsi" w:hAnsiTheme="minorHAnsi" w:cs="Arial"/>
                <w:sz w:val="22"/>
                <w:szCs w:val="22"/>
              </w:rPr>
              <w:t>dostępn</w:t>
            </w:r>
            <w:r>
              <w:rPr>
                <w:rFonts w:asciiTheme="minorHAnsi" w:hAnsiTheme="minorHAnsi" w:cs="Arial"/>
                <w:sz w:val="22"/>
                <w:szCs w:val="22"/>
              </w:rPr>
              <w:t>ych</w:t>
            </w:r>
            <w:r w:rsidRPr="00171C66">
              <w:rPr>
                <w:rFonts w:asciiTheme="minorHAnsi" w:hAnsiTheme="minorHAnsi" w:cs="Arial"/>
                <w:sz w:val="22"/>
                <w:szCs w:val="22"/>
              </w:rPr>
              <w:t xml:space="preserve"> środków finansowych dla Wnioskodawcy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 budżecie państwa </w:t>
            </w:r>
            <w:r w:rsidRPr="00817616">
              <w:rPr>
                <w:rFonts w:asciiTheme="minorHAnsi" w:hAnsiTheme="minorHAnsi" w:cs="Arial"/>
                <w:sz w:val="22"/>
                <w:szCs w:val="22"/>
              </w:rPr>
              <w:t xml:space="preserve">przewidzianych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Pr="00817616">
              <w:rPr>
                <w:rFonts w:asciiTheme="minorHAnsi" w:hAnsiTheme="minorHAnsi" w:cs="Arial"/>
                <w:sz w:val="22"/>
                <w:szCs w:val="22"/>
              </w:rPr>
              <w:t>priorytet</w:t>
            </w:r>
            <w:r>
              <w:rPr>
                <w:rFonts w:asciiTheme="minorHAnsi" w:hAnsiTheme="minorHAnsi" w:cs="Arial"/>
                <w:sz w:val="22"/>
                <w:szCs w:val="22"/>
              </w:rPr>
              <w:t>y</w:t>
            </w:r>
            <w:r w:rsidRPr="00817616">
              <w:rPr>
                <w:rFonts w:asciiTheme="minorHAnsi" w:hAnsiTheme="minorHAnsi" w:cs="Arial"/>
                <w:sz w:val="22"/>
                <w:szCs w:val="22"/>
              </w:rPr>
              <w:t xml:space="preserve"> PT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FEWiM 2021-2027 </w:t>
            </w:r>
            <w:r w:rsidRPr="00817616">
              <w:rPr>
                <w:rFonts w:asciiTheme="minorHAnsi" w:hAnsiTheme="minorHAnsi" w:cs="Arial"/>
                <w:sz w:val="22"/>
                <w:szCs w:val="22"/>
              </w:rPr>
              <w:t>(EFS+ i EFRR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>
              <w:t xml:space="preserve"> </w:t>
            </w:r>
            <w:r w:rsidRPr="004333A4">
              <w:rPr>
                <w:rFonts w:asciiTheme="minorHAnsi" w:hAnsiTheme="minorHAnsi" w:cs="Arial"/>
                <w:sz w:val="22"/>
                <w:szCs w:val="22"/>
              </w:rPr>
              <w:t>na paragraf</w:t>
            </w:r>
            <w:r>
              <w:rPr>
                <w:rFonts w:asciiTheme="minorHAnsi" w:hAnsiTheme="minorHAnsi" w:cs="Arial"/>
                <w:sz w:val="22"/>
                <w:szCs w:val="22"/>
              </w:rPr>
              <w:t>ie</w:t>
            </w:r>
            <w:r w:rsidRPr="004333A4">
              <w:rPr>
                <w:rFonts w:asciiTheme="minorHAnsi" w:hAnsiTheme="minorHAnsi" w:cs="Arial"/>
                <w:sz w:val="22"/>
                <w:szCs w:val="22"/>
              </w:rPr>
              <w:t xml:space="preserve"> z ostatn</w:t>
            </w:r>
            <w:r>
              <w:rPr>
                <w:rFonts w:asciiTheme="minorHAnsi" w:hAnsiTheme="minorHAnsi" w:cs="Arial"/>
                <w:sz w:val="22"/>
                <w:szCs w:val="22"/>
              </w:rPr>
              <w:t>ią</w:t>
            </w:r>
            <w:r w:rsidRPr="004333A4">
              <w:rPr>
                <w:rFonts w:asciiTheme="minorHAnsi" w:hAnsiTheme="minorHAnsi" w:cs="Arial"/>
                <w:sz w:val="22"/>
                <w:szCs w:val="22"/>
              </w:rPr>
              <w:t xml:space="preserve"> cyfr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ą </w:t>
            </w:r>
            <w:r w:rsidRPr="004333A4">
              <w:rPr>
                <w:rFonts w:asciiTheme="minorHAnsi" w:hAnsiTheme="minorHAnsi" w:cs="Arial"/>
                <w:sz w:val="22"/>
                <w:szCs w:val="22"/>
              </w:rPr>
              <w:t>8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354B2ADF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1FB87F6F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35A383C6" w14:textId="77777777" w:rsidTr="005406E0">
        <w:trPr>
          <w:trHeight w:val="907"/>
        </w:trPr>
        <w:tc>
          <w:tcPr>
            <w:tcW w:w="557" w:type="dxa"/>
            <w:vMerge/>
            <w:vAlign w:val="center"/>
          </w:tcPr>
          <w:p w14:paraId="32B06CDD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54D29C9" w14:textId="77777777" w:rsidR="001D39F9" w:rsidRPr="0098539B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vAlign w:val="center"/>
          </w:tcPr>
          <w:p w14:paraId="6C48D324" w14:textId="77777777" w:rsidR="001D39F9" w:rsidRPr="00E27E7F" w:rsidRDefault="001D39F9" w:rsidP="005406E0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Czy spełniony jest warunek 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>maksymalnego % dofinansowania wydatków kwalifikowalnych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 projekcie (środki UE)</w:t>
            </w:r>
            <w:r w:rsidRPr="00D44CAA">
              <w:rPr>
                <w:rFonts w:asciiTheme="minorHAnsi" w:hAnsiTheme="minorHAnsi" w:cs="Arial"/>
                <w:sz w:val="22"/>
                <w:szCs w:val="22"/>
              </w:rPr>
              <w:t xml:space="preserve">, określonego w </w:t>
            </w:r>
            <w:r w:rsidRPr="00753B1B">
              <w:rPr>
                <w:rFonts w:asciiTheme="minorHAnsi" w:hAnsiTheme="minorHAnsi" w:cs="Arial"/>
                <w:sz w:val="22"/>
                <w:szCs w:val="22"/>
              </w:rPr>
              <w:t>Programie FEWiM 2021-2027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 </w:t>
            </w:r>
            <w:r w:rsidRPr="004B15E7">
              <w:rPr>
                <w:rFonts w:asciiTheme="minorHAnsi" w:hAnsiTheme="minorHAnsi" w:cs="Arial"/>
                <w:sz w:val="22"/>
                <w:szCs w:val="22"/>
              </w:rPr>
              <w:t>SZOP</w:t>
            </w:r>
            <w:r>
              <w:rPr>
                <w:rStyle w:val="Odwoanieprzypisudolnego"/>
                <w:szCs w:val="22"/>
              </w:rPr>
              <w:footnoteReference w:id="2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? </w:t>
            </w:r>
          </w:p>
        </w:tc>
        <w:tc>
          <w:tcPr>
            <w:tcW w:w="1701" w:type="dxa"/>
            <w:vAlign w:val="center"/>
          </w:tcPr>
          <w:p w14:paraId="40D90516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60A50451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7E29BE09" w14:textId="77777777" w:rsidTr="005406E0">
        <w:trPr>
          <w:trHeight w:val="627"/>
        </w:trPr>
        <w:tc>
          <w:tcPr>
            <w:tcW w:w="557" w:type="dxa"/>
            <w:vMerge/>
            <w:vAlign w:val="center"/>
          </w:tcPr>
          <w:p w14:paraId="5D030F6E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973DA42" w14:textId="77777777" w:rsidR="001D39F9" w:rsidRPr="0098539B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vAlign w:val="center"/>
          </w:tcPr>
          <w:p w14:paraId="4C88F403" w14:textId="77777777" w:rsidR="001D39F9" w:rsidRPr="00F46BD6" w:rsidRDefault="001D39F9" w:rsidP="005406E0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</w:t>
            </w:r>
            <w:r w:rsidRPr="00EB3F6F">
              <w:rPr>
                <w:rFonts w:asciiTheme="minorHAnsi" w:hAnsiTheme="minorHAnsi" w:cstheme="minorHAnsi"/>
                <w:sz w:val="22"/>
                <w:szCs w:val="22"/>
              </w:rPr>
              <w:t>ydatki w projekcie mieszczą się w odpowiednich kategoriach interwencji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dla priorytetu PT </w:t>
            </w:r>
            <w:r>
              <w:rPr>
                <w:rFonts w:asciiTheme="minorHAnsi" w:hAnsiTheme="minorHAnsi" w:cs="Arial"/>
                <w:sz w:val="22"/>
                <w:szCs w:val="22"/>
              </w:rPr>
              <w:t>FEWiM 2021-2027?</w:t>
            </w:r>
          </w:p>
        </w:tc>
        <w:tc>
          <w:tcPr>
            <w:tcW w:w="1701" w:type="dxa"/>
            <w:vAlign w:val="center"/>
          </w:tcPr>
          <w:p w14:paraId="3D05EF5B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7BC4EDA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6DD2F796" w14:textId="77777777" w:rsidTr="005406E0">
        <w:trPr>
          <w:trHeight w:val="1108"/>
        </w:trPr>
        <w:tc>
          <w:tcPr>
            <w:tcW w:w="557" w:type="dxa"/>
            <w:vMerge/>
            <w:vAlign w:val="center"/>
          </w:tcPr>
          <w:p w14:paraId="226C4BFE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FAC1854" w14:textId="77777777" w:rsidR="001D39F9" w:rsidRPr="0098539B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vAlign w:val="center"/>
          </w:tcPr>
          <w:p w14:paraId="782E2C2C" w14:textId="77777777" w:rsidR="001D39F9" w:rsidRPr="00A20F50" w:rsidDel="001876C5" w:rsidRDefault="001D39F9" w:rsidP="005406E0">
            <w:pPr>
              <w:pStyle w:val="Akapitzlist"/>
              <w:numPr>
                <w:ilvl w:val="0"/>
                <w:numId w:val="12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 w:rsidRPr="00F46BD6">
              <w:rPr>
                <w:rFonts w:asciiTheme="minorHAnsi" w:hAnsiTheme="minorHAnsi" w:cs="Arial"/>
                <w:sz w:val="22"/>
                <w:szCs w:val="22"/>
              </w:rPr>
              <w:t xml:space="preserve">Czy </w:t>
            </w:r>
            <w:r>
              <w:rPr>
                <w:rFonts w:asciiTheme="minorHAnsi" w:hAnsiTheme="minorHAnsi" w:cs="Arial"/>
                <w:sz w:val="22"/>
                <w:szCs w:val="22"/>
              </w:rPr>
              <w:t>W</w:t>
            </w:r>
            <w:r w:rsidRPr="00F46BD6">
              <w:rPr>
                <w:rFonts w:asciiTheme="minorHAnsi" w:hAnsiTheme="minorHAnsi" w:cs="Arial"/>
                <w:sz w:val="22"/>
                <w:szCs w:val="22"/>
              </w:rPr>
              <w:t xml:space="preserve">nioskodawca posiada odpowiedni potencjał finansowy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F46BD6">
              <w:rPr>
                <w:rFonts w:asciiTheme="minorHAnsi" w:hAnsiTheme="minorHAnsi" w:cs="Arial"/>
                <w:sz w:val="22"/>
                <w:szCs w:val="22"/>
              </w:rPr>
              <w:t>i zapewnia niezbędne własne środki finansowe do realizacji projektu w określonym terminie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701" w:type="dxa"/>
            <w:vAlign w:val="center"/>
          </w:tcPr>
          <w:p w14:paraId="1E619623" w14:textId="77777777" w:rsidR="001D39F9" w:rsidRPr="00E27E7F" w:rsidDel="001876C5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0C983D3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77FC1438" w14:textId="77777777" w:rsidTr="005406E0">
        <w:trPr>
          <w:trHeight w:val="849"/>
        </w:trPr>
        <w:tc>
          <w:tcPr>
            <w:tcW w:w="557" w:type="dxa"/>
            <w:vMerge w:val="restart"/>
            <w:vAlign w:val="center"/>
          </w:tcPr>
          <w:p w14:paraId="51712FB3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5.</w:t>
            </w:r>
          </w:p>
        </w:tc>
        <w:tc>
          <w:tcPr>
            <w:tcW w:w="1985" w:type="dxa"/>
            <w:vMerge w:val="restart"/>
            <w:vAlign w:val="center"/>
          </w:tcPr>
          <w:p w14:paraId="7E3FC9C1" w14:textId="77777777" w:rsidR="001D39F9" w:rsidRPr="000924DB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Zdolność administracyjna i zasoby ludzkie Wnioskodawcy</w:t>
            </w:r>
          </w:p>
        </w:tc>
        <w:tc>
          <w:tcPr>
            <w:tcW w:w="6520" w:type="dxa"/>
            <w:vAlign w:val="center"/>
          </w:tcPr>
          <w:p w14:paraId="702BE83F" w14:textId="77777777" w:rsidR="001D39F9" w:rsidRPr="000924DB" w:rsidRDefault="001D39F9" w:rsidP="005406E0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 xml:space="preserve">Kryterium weryfikuje przygotowanie i potencjał Wnioskodawcy </w:t>
            </w:r>
            <w:r w:rsidRPr="000924DB">
              <w:rPr>
                <w:rFonts w:asciiTheme="minorHAnsi" w:hAnsiTheme="minorHAnsi" w:cs="Arial"/>
                <w:sz w:val="22"/>
                <w:szCs w:val="22"/>
              </w:rPr>
              <w:br/>
              <w:t>do realizacji projektu.</w:t>
            </w:r>
          </w:p>
          <w:p w14:paraId="5F79B1E5" w14:textId="77777777" w:rsidR="001D39F9" w:rsidRPr="000924DB" w:rsidRDefault="001D39F9" w:rsidP="005406E0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W ramach kryterium zweryfikowane zostanie:</w:t>
            </w:r>
          </w:p>
        </w:tc>
        <w:tc>
          <w:tcPr>
            <w:tcW w:w="1701" w:type="dxa"/>
            <w:vAlign w:val="center"/>
          </w:tcPr>
          <w:p w14:paraId="5AAA8584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5AD1054C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FC5277A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69883841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9E2F3A6" w14:textId="77777777" w:rsidR="001D39F9" w:rsidRPr="0053188A" w:rsidRDefault="001D39F9" w:rsidP="005406E0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53188A">
              <w:rPr>
                <w:rFonts w:asciiTheme="minorHAnsi" w:hAnsiTheme="minorHAnsi" w:cs="Arial"/>
                <w:sz w:val="22"/>
                <w:szCs w:val="22"/>
              </w:rPr>
              <w:lastRenderedPageBreak/>
              <w:t>Ocena spełniania danego kryterium polega na przypisaniu wartości logicznych „tak” lub „nie”.</w:t>
            </w:r>
          </w:p>
          <w:p w14:paraId="02A9FF93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3188A">
              <w:rPr>
                <w:rFonts w:asciiTheme="minorHAnsi" w:hAnsiTheme="minorHAnsi" w:cs="Arial"/>
                <w:sz w:val="22"/>
                <w:szCs w:val="22"/>
              </w:rPr>
              <w:t>Kryterium jest zdefiniowane poprzez zestaw pytań  pomocniczych i uznaje się je za spełnione, jeżeli odpowiedź na wszystkie cząstkowe pytania będzie pozytywna (wartość logiczna: „Tak”).</w:t>
            </w:r>
          </w:p>
          <w:p w14:paraId="4EBE5CD4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3188A">
              <w:rPr>
                <w:rFonts w:asciiTheme="minorHAnsi" w:hAnsiTheme="minorHAnsi" w:cs="Arial"/>
                <w:sz w:val="22"/>
                <w:szCs w:val="22"/>
              </w:rPr>
              <w:t xml:space="preserve">(W trakcie oceny kryterium 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53188A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53188A">
              <w:rPr>
                <w:rFonts w:asciiTheme="minorHAnsi" w:hAnsiTheme="minorHAnsi" w:cs="Arial"/>
                <w:sz w:val="22"/>
                <w:szCs w:val="22"/>
              </w:rPr>
              <w:t>i uzupełnienia projektu w części spełniania kryterium, w zakresie określonym w Regulaminie wyboru projektów)</w:t>
            </w:r>
          </w:p>
        </w:tc>
      </w:tr>
      <w:tr w:rsidR="001D39F9" w:rsidRPr="00E27E7F" w14:paraId="4D0EC5F4" w14:textId="77777777" w:rsidTr="005406E0">
        <w:trPr>
          <w:trHeight w:val="849"/>
        </w:trPr>
        <w:tc>
          <w:tcPr>
            <w:tcW w:w="557" w:type="dxa"/>
            <w:vMerge/>
            <w:vAlign w:val="center"/>
          </w:tcPr>
          <w:p w14:paraId="1CA0AC12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AF5EE9A" w14:textId="77777777" w:rsidR="001D39F9" w:rsidRPr="000924DB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7CF6F66" w14:textId="77777777" w:rsidR="001D39F9" w:rsidRPr="000924DB" w:rsidRDefault="001D39F9" w:rsidP="005406E0">
            <w:pPr>
              <w:pStyle w:val="Akapitzlist"/>
              <w:numPr>
                <w:ilvl w:val="0"/>
                <w:numId w:val="16"/>
              </w:numPr>
              <w:suppressAutoHyphens w:val="0"/>
              <w:spacing w:before="0" w:line="276" w:lineRule="auto"/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Czy Wnioskodawca posiada wykwalifikowaną kadrę gwarantującą rzetelną i profesjonalną realizację projektu?</w:t>
            </w:r>
          </w:p>
        </w:tc>
        <w:tc>
          <w:tcPr>
            <w:tcW w:w="1701" w:type="dxa"/>
            <w:vAlign w:val="center"/>
          </w:tcPr>
          <w:p w14:paraId="5BF173A5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8EE67BE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36D9E73B" w14:textId="77777777" w:rsidTr="005406E0">
        <w:trPr>
          <w:trHeight w:val="849"/>
        </w:trPr>
        <w:tc>
          <w:tcPr>
            <w:tcW w:w="557" w:type="dxa"/>
            <w:vMerge/>
            <w:vAlign w:val="center"/>
          </w:tcPr>
          <w:p w14:paraId="4ACD0AFD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72B7496" w14:textId="77777777" w:rsidR="001D39F9" w:rsidRPr="000924DB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19246ED1" w14:textId="77777777" w:rsidR="001D39F9" w:rsidRPr="000924DB" w:rsidRDefault="001D39F9" w:rsidP="005406E0">
            <w:pPr>
              <w:pStyle w:val="Akapitzlist"/>
              <w:numPr>
                <w:ilvl w:val="0"/>
                <w:numId w:val="16"/>
              </w:numPr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Czy Wnioskodawca zapewnił odpowiednie zaplecze techniczno-lokalowe oraz obsługę administracyjną, finansową i organizacyjną do prawidłowej realizacji projektu?</w:t>
            </w:r>
          </w:p>
          <w:p w14:paraId="25BC16FA" w14:textId="77777777" w:rsidR="001D39F9" w:rsidRPr="000924DB" w:rsidRDefault="001D39F9" w:rsidP="005406E0">
            <w:pPr>
              <w:suppressAutoHyphens w:val="0"/>
              <w:spacing w:before="0" w:line="276" w:lineRule="auto"/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BCA4080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83EE1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59193382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7C1696CF" w14:textId="77777777" w:rsidTr="005406E0">
        <w:trPr>
          <w:trHeight w:val="1893"/>
        </w:trPr>
        <w:tc>
          <w:tcPr>
            <w:tcW w:w="557" w:type="dxa"/>
            <w:vMerge/>
            <w:vAlign w:val="center"/>
          </w:tcPr>
          <w:p w14:paraId="60889694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30584ED" w14:textId="77777777" w:rsidR="001D39F9" w:rsidRPr="000924DB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35C97E25" w14:textId="77777777" w:rsidR="001D39F9" w:rsidRPr="000924DB" w:rsidRDefault="001D39F9" w:rsidP="005406E0">
            <w:pPr>
              <w:pStyle w:val="Akapitzlist"/>
              <w:numPr>
                <w:ilvl w:val="0"/>
                <w:numId w:val="16"/>
              </w:numPr>
              <w:ind w:left="459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0924DB">
              <w:rPr>
                <w:rFonts w:asciiTheme="minorHAnsi" w:hAnsiTheme="minorHAnsi" w:cs="Arial"/>
                <w:sz w:val="22"/>
                <w:szCs w:val="22"/>
              </w:rPr>
              <w:t>Czy Wnioskodawca posiada narzędzia monitoringu i procedury zapobiegania, wykrywania, korygowania i raportowania w obszarze nieprawidłowości i nadużyć finansowych oraz unikania konfliktu interesów dla zadań objętych projektem?</w:t>
            </w:r>
          </w:p>
        </w:tc>
        <w:tc>
          <w:tcPr>
            <w:tcW w:w="1701" w:type="dxa"/>
            <w:vAlign w:val="center"/>
          </w:tcPr>
          <w:p w14:paraId="0DF929A3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83EE1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ABEFDAD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0DBD13E0" w14:textId="77777777" w:rsidTr="005406E0">
        <w:trPr>
          <w:trHeight w:val="849"/>
        </w:trPr>
        <w:tc>
          <w:tcPr>
            <w:tcW w:w="557" w:type="dxa"/>
            <w:vMerge w:val="restart"/>
            <w:vAlign w:val="center"/>
          </w:tcPr>
          <w:p w14:paraId="09A46F8D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  <w:p w14:paraId="04581A84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6.</w:t>
            </w:r>
          </w:p>
        </w:tc>
        <w:tc>
          <w:tcPr>
            <w:tcW w:w="1985" w:type="dxa"/>
            <w:vMerge w:val="restart"/>
            <w:vAlign w:val="center"/>
          </w:tcPr>
          <w:p w14:paraId="42FDE676" w14:textId="77777777" w:rsidR="001D39F9" w:rsidRPr="00B4690F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4690F">
              <w:rPr>
                <w:rFonts w:asciiTheme="minorHAnsi" w:hAnsiTheme="minorHAnsi" w:cs="Arial"/>
                <w:sz w:val="22"/>
                <w:szCs w:val="22"/>
              </w:rPr>
              <w:t xml:space="preserve">Zgodność </w:t>
            </w:r>
            <w:r>
              <w:rPr>
                <w:rFonts w:asciiTheme="minorHAnsi" w:hAnsiTheme="minorHAnsi" w:cs="Arial"/>
                <w:sz w:val="22"/>
                <w:szCs w:val="22"/>
              </w:rPr>
              <w:t>projektu</w:t>
            </w:r>
            <w:r w:rsidRPr="00B4690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217F12AA" w14:textId="77777777" w:rsidR="001D39F9" w:rsidRPr="00E27E7F" w:rsidRDefault="001D39F9" w:rsidP="005406E0">
            <w:pPr>
              <w:spacing w:before="0" w:line="276" w:lineRule="auto"/>
              <w:jc w:val="center"/>
              <w:rPr>
                <w:rFonts w:asciiTheme="minorHAnsi" w:hAnsiTheme="minorHAnsi" w:cs="Arial"/>
                <w:szCs w:val="22"/>
              </w:rPr>
            </w:pPr>
            <w:r w:rsidRPr="00B4690F">
              <w:rPr>
                <w:rFonts w:asciiTheme="minorHAnsi" w:hAnsiTheme="minorHAnsi" w:cs="Arial"/>
                <w:sz w:val="22"/>
                <w:szCs w:val="22"/>
              </w:rPr>
              <w:t>z prawem wspólnotowym i krajowym</w:t>
            </w:r>
          </w:p>
        </w:tc>
        <w:tc>
          <w:tcPr>
            <w:tcW w:w="6520" w:type="dxa"/>
            <w:vAlign w:val="center"/>
          </w:tcPr>
          <w:p w14:paraId="22FBB669" w14:textId="77777777" w:rsidR="001D39F9" w:rsidRPr="00B4690F" w:rsidRDefault="001D39F9" w:rsidP="005406E0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 ramach oceny kryterium zostanie zweryfikowana zgodność projektu z prawem  krajowym i wspólnotowym</w:t>
            </w:r>
            <w:r>
              <w:rPr>
                <w:rStyle w:val="Odwoanieprzypisudolnego"/>
                <w:szCs w:val="22"/>
              </w:rPr>
              <w:footnoteReference w:id="3"/>
            </w:r>
            <w:r>
              <w:rPr>
                <w:rFonts w:asciiTheme="minorHAnsi" w:hAnsiTheme="minorHAnsi" w:cs="Arial"/>
                <w:sz w:val="22"/>
                <w:szCs w:val="22"/>
              </w:rPr>
              <w:t>, w tym w szczególności z:</w:t>
            </w:r>
          </w:p>
        </w:tc>
        <w:tc>
          <w:tcPr>
            <w:tcW w:w="1701" w:type="dxa"/>
            <w:vAlign w:val="center"/>
          </w:tcPr>
          <w:p w14:paraId="2D91ABE5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4649" w:type="dxa"/>
            <w:vMerge w:val="restart"/>
            <w:vAlign w:val="center"/>
          </w:tcPr>
          <w:p w14:paraId="487C2A30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E6B3D8A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5324C99F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557C795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Ocena spełniania danego kryterium polega na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>przypisaniu wartości logicznych „tak” lub „nie”.</w:t>
            </w:r>
          </w:p>
          <w:p w14:paraId="53906B68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6754B2C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D1C162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5F4A3BE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53A9361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334C488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A647C82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D1EF9">
              <w:rPr>
                <w:rFonts w:asciiTheme="minorHAnsi" w:hAnsiTheme="minorHAnsi" w:cs="Arial"/>
                <w:sz w:val="22"/>
                <w:szCs w:val="22"/>
              </w:rPr>
              <w:t>Kryterium jest zdefiniowane poprzez zestaw zagadnień  pomocniczych i uznaje się je za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ED1EF9">
              <w:rPr>
                <w:rFonts w:asciiTheme="minorHAnsi" w:hAnsiTheme="minorHAnsi" w:cs="Arial"/>
                <w:sz w:val="22"/>
                <w:szCs w:val="22"/>
              </w:rPr>
              <w:t>spełnione, jeżeli odpowiedź na wszystkie cząstkowe zagadnienia będzie pozytywna (wartość logiczna: „Tak”).</w:t>
            </w:r>
          </w:p>
          <w:p w14:paraId="6C095EAA" w14:textId="77777777" w:rsidR="001D39F9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76FF3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6F4A78">
              <w:rPr>
                <w:rFonts w:asciiTheme="minorHAnsi" w:hAnsiTheme="minorHAnsi" w:cs="Arial"/>
                <w:sz w:val="22"/>
                <w:szCs w:val="22"/>
              </w:rPr>
              <w:t xml:space="preserve">W trakcie oceny kryterium 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IZ PT FEWiM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2021-2027 przewiduje możliwość poprawy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 xml:space="preserve">i uzupełnienia projektu w części spełniania kryterium, w zakresie określonym w </w:t>
            </w:r>
            <w:r w:rsidRPr="00C82D54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A76FF3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  <w:p w14:paraId="3E819EFD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5C7B5C59" w14:textId="77777777" w:rsidTr="005406E0">
        <w:trPr>
          <w:trHeight w:val="2017"/>
        </w:trPr>
        <w:tc>
          <w:tcPr>
            <w:tcW w:w="557" w:type="dxa"/>
            <w:vMerge/>
            <w:vAlign w:val="center"/>
          </w:tcPr>
          <w:p w14:paraId="29B02230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51C4C8C" w14:textId="77777777" w:rsidR="001D39F9" w:rsidRPr="00B4690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09B19125" w14:textId="77777777" w:rsidR="001D39F9" w:rsidRDefault="001D39F9" w:rsidP="005406E0">
            <w:pPr>
              <w:pStyle w:val="Akapitzlist"/>
              <w:numPr>
                <w:ilvl w:val="0"/>
                <w:numId w:val="13"/>
              </w:numPr>
              <w:suppressAutoHyphens w:val="0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>Kartą Praw Podstawowych Unii Europejskiej z dnia 26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>października 2012 r. (Dz. Urz. UE C 326 z 26.10.2012, str. 391)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7C19FCB3" w14:textId="77777777" w:rsidR="001D39F9" w:rsidRPr="00D4169F" w:rsidRDefault="001D39F9" w:rsidP="005406E0">
            <w:pPr>
              <w:pStyle w:val="Akapitzlist"/>
              <w:suppressAutoHyphens w:val="0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>Przez zgodność z Kartą Praw Podstawowych Unii Europejskiej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>dnia 26 października 2012 r., na etapie oceny wniosku, należy rozumieć brak sprzeczności pomiędzy zapisami projektu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>wymogami tego dokumentu lub stwierdzenie, że te wymagania są neutralne wobec zakresu i zawartości projektu;</w:t>
            </w:r>
          </w:p>
        </w:tc>
        <w:tc>
          <w:tcPr>
            <w:tcW w:w="1701" w:type="dxa"/>
            <w:vAlign w:val="center"/>
          </w:tcPr>
          <w:p w14:paraId="0C004B14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24CEF0C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2D4D725D" w14:textId="77777777" w:rsidTr="005406E0">
        <w:trPr>
          <w:trHeight w:val="2017"/>
        </w:trPr>
        <w:tc>
          <w:tcPr>
            <w:tcW w:w="557" w:type="dxa"/>
            <w:vMerge/>
            <w:vAlign w:val="center"/>
          </w:tcPr>
          <w:p w14:paraId="0392BCFF" w14:textId="77777777" w:rsidR="001D39F9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F693404" w14:textId="77777777" w:rsidR="001D39F9" w:rsidRPr="00B4690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1FD4BD3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C82573">
              <w:rPr>
                <w:rFonts w:asciiTheme="minorHAnsi" w:hAnsiTheme="minorHAnsi" w:cs="Arial"/>
                <w:sz w:val="22"/>
                <w:szCs w:val="22"/>
              </w:rPr>
              <w:t xml:space="preserve">Konwencją o Prawach Osób Niepełnosprawnych, sporządzoną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C82573">
              <w:rPr>
                <w:rFonts w:asciiTheme="minorHAnsi" w:hAnsiTheme="minorHAnsi" w:cs="Arial"/>
                <w:sz w:val="22"/>
                <w:szCs w:val="22"/>
              </w:rPr>
              <w:t>w Nowym Jorku dnia 13 grudnia 2006 r. (Dz. U. z 2012 r. poz. 1169, z późn. zm.).</w:t>
            </w:r>
          </w:p>
          <w:p w14:paraId="1D52DDB5" w14:textId="77777777" w:rsidR="001D39F9" w:rsidRPr="00D4169F" w:rsidRDefault="001D39F9" w:rsidP="005406E0">
            <w:pPr>
              <w:pStyle w:val="Akapitzlist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Przez zgodność z </w:t>
            </w:r>
            <w:r w:rsidRPr="00C82573">
              <w:rPr>
                <w:rFonts w:asciiTheme="minorHAnsi" w:hAnsiTheme="minorHAnsi" w:cs="Arial"/>
                <w:sz w:val="22"/>
                <w:szCs w:val="22"/>
              </w:rPr>
              <w:t>Konwencją o Prawach Osób Niepełnosprawnych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na etapie oceny wniosku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należy rozumieć brak sprzeczności pomiędzy zapisami projektu a wymogami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tego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dokument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 xml:space="preserve"> lub stwierdzenie, że te wymagania są neutralne wobec zakresu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5F2289">
              <w:rPr>
                <w:rFonts w:asciiTheme="minorHAnsi" w:hAnsiTheme="minorHAnsi" w:cstheme="minorHAnsi"/>
                <w:sz w:val="22"/>
                <w:szCs w:val="22"/>
              </w:rPr>
              <w:t>zawartości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0F102C91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7A8A78E9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2D371DB6" w14:textId="77777777" w:rsidTr="005406E0">
        <w:trPr>
          <w:trHeight w:val="703"/>
        </w:trPr>
        <w:tc>
          <w:tcPr>
            <w:tcW w:w="557" w:type="dxa"/>
            <w:vMerge/>
          </w:tcPr>
          <w:p w14:paraId="0F292D09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9B15E2E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6476CF1E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ind w:left="463" w:hanging="426"/>
              <w:rPr>
                <w:rFonts w:asciiTheme="minorHAnsi" w:hAnsiTheme="minorHAnsi" w:cs="Arial"/>
                <w:sz w:val="22"/>
                <w:szCs w:val="22"/>
              </w:rPr>
            </w:pPr>
            <w:r w:rsidRPr="00A700F8">
              <w:rPr>
                <w:rFonts w:asciiTheme="minorHAnsi" w:hAnsiTheme="minorHAnsi" w:cs="Arial"/>
                <w:sz w:val="22"/>
                <w:szCs w:val="22"/>
              </w:rPr>
              <w:t>Zasadą równości kobiet i mężczyzn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  <w:p w14:paraId="3CF4ABE2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463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172CBDB" w14:textId="77777777" w:rsidR="001D39F9" w:rsidRPr="00A700F8" w:rsidRDefault="001D39F9" w:rsidP="005406E0">
            <w:pPr>
              <w:pStyle w:val="Akapitzlist"/>
              <w:suppressAutoHyphens w:val="0"/>
              <w:spacing w:before="0" w:line="276" w:lineRule="auto"/>
              <w:ind w:left="463"/>
              <w:rPr>
                <w:rFonts w:asciiTheme="minorHAnsi" w:hAnsiTheme="minorHAnsi" w:cs="Arial"/>
                <w:sz w:val="22"/>
                <w:szCs w:val="22"/>
              </w:rPr>
            </w:pPr>
            <w:r w:rsidRPr="00A700F8">
              <w:rPr>
                <w:rFonts w:asciiTheme="minorHAnsi" w:hAnsiTheme="minorHAnsi" w:cs="Arial"/>
                <w:sz w:val="22"/>
                <w:szCs w:val="22"/>
              </w:rPr>
              <w:t xml:space="preserve">Weryfikowane będzie, czy Wnioskodawca wykazał, że projekt będzie miał pozytywny lub neutralny wpływ na zasadę horyzontalną UE: promowanie równości kobiet i mężczyzn, zgodnie z art. 9 (2) </w:t>
            </w:r>
            <w:r w:rsidRPr="00A700F8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Rozporządzenia Parlamentu Europejskiego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A700F8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i Rady (UE) nr 2021/1060</w:t>
            </w:r>
            <w:r w:rsidRPr="00A700F8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oraz zgodność z </w:t>
            </w:r>
            <w:r w:rsidRPr="00A700F8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Wytycznymi dotyczącymi realizacji zasad równościowych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A700F8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 ramach funduszy unijnych na lata 2021-2027</w:t>
            </w:r>
            <w:r w:rsidRPr="00A700F8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7C03405C" w14:textId="77777777" w:rsidR="001D39F9" w:rsidRPr="00EB28E4" w:rsidRDefault="001D39F9" w:rsidP="005406E0">
            <w:pPr>
              <w:pStyle w:val="Akapitzlist"/>
              <w:suppressAutoHyphens w:val="0"/>
              <w:spacing w:before="0" w:line="276" w:lineRule="auto"/>
              <w:ind w:left="463"/>
              <w:rPr>
                <w:rFonts w:asciiTheme="minorHAnsi" w:hAnsiTheme="minorHAnsi" w:cs="Arial"/>
                <w:sz w:val="22"/>
                <w:szCs w:val="22"/>
              </w:rPr>
            </w:pPr>
            <w:r w:rsidRPr="00EB28E4">
              <w:rPr>
                <w:rFonts w:asciiTheme="minorHAnsi" w:hAnsiTheme="minorHAnsi" w:cs="Arial"/>
                <w:sz w:val="22"/>
                <w:szCs w:val="22"/>
              </w:rPr>
              <w:t xml:space="preserve">Neutralność projektu jest dopuszczalna tylko w sytuacji, kiedy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EB28E4">
              <w:rPr>
                <w:rFonts w:asciiTheme="minorHAnsi" w:hAnsiTheme="minorHAnsi" w:cs="Arial"/>
                <w:sz w:val="22"/>
                <w:szCs w:val="22"/>
              </w:rPr>
              <w:t xml:space="preserve">w ramach projektu </w:t>
            </w:r>
            <w:r>
              <w:rPr>
                <w:rFonts w:asciiTheme="minorHAnsi" w:hAnsiTheme="minorHAnsi" w:cs="Arial"/>
                <w:sz w:val="22"/>
                <w:szCs w:val="22"/>
              </w:rPr>
              <w:t>W</w:t>
            </w:r>
            <w:r w:rsidRPr="00EB28E4">
              <w:rPr>
                <w:rFonts w:asciiTheme="minorHAnsi" w:hAnsiTheme="minorHAnsi" w:cs="Arial"/>
                <w:sz w:val="22"/>
                <w:szCs w:val="22"/>
              </w:rPr>
              <w:t>nioskodawca wskaże szczegółowe uzasadnienie, dlaczego dany projekt nie jest w stanie zrealizować jakichkolwiek działań wpływających na spełnienie ww. zasady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23C90548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71DC585F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6A65E202" w14:textId="77777777" w:rsidTr="005406E0">
        <w:trPr>
          <w:trHeight w:val="703"/>
        </w:trPr>
        <w:tc>
          <w:tcPr>
            <w:tcW w:w="557" w:type="dxa"/>
            <w:vMerge/>
          </w:tcPr>
          <w:p w14:paraId="367BA9DB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1300F20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6BC10CEC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Zasadą równości szans i niedyskryminacji, w tym dostępności dla osób z niepełnosprawnościami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6819B2D1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EDEA25" w14:textId="77777777" w:rsidR="001D39F9" w:rsidRPr="005E47CE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5E47CE">
              <w:rPr>
                <w:rFonts w:asciiTheme="minorHAnsi" w:hAnsiTheme="minorHAnsi" w:cs="Arial"/>
                <w:sz w:val="22"/>
                <w:szCs w:val="22"/>
              </w:rPr>
              <w:t>Weryfikowane będzie, czy Wnioskodawca wykazał, że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 xml:space="preserve">projekt będzie miał pozytywny wpływ na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realizację 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>zasad</w:t>
            </w:r>
            <w:r>
              <w:rPr>
                <w:rFonts w:asciiTheme="minorHAnsi" w:hAnsiTheme="minorHAnsi" w:cs="Arial"/>
                <w:sz w:val="22"/>
                <w:szCs w:val="22"/>
              </w:rPr>
              <w:t>y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 xml:space="preserve"> horyzontaln</w:t>
            </w:r>
            <w:r>
              <w:rPr>
                <w:rFonts w:asciiTheme="minorHAnsi" w:hAnsiTheme="minorHAnsi" w:cs="Arial"/>
                <w:sz w:val="22"/>
                <w:szCs w:val="22"/>
              </w:rPr>
              <w:t>ej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 xml:space="preserve"> UE: promowanie równości szans i niedyskryminacji w tym dostępności dla osób z niepełnosprawnościami, zgodnie z art. 9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(3)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lastRenderedPageBreak/>
              <w:t xml:space="preserve">Rozporządzenia Parlamentu Europejskiego i Rady (UE)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nr 2021/1060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oraz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będzie realizowany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 xml:space="preserve">z zachowaniem standardów, o których mowa w Załączniku nr 2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  <w:t xml:space="preserve">do </w:t>
            </w:r>
            <w:r w:rsidRPr="006C627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ch</w:t>
            </w:r>
            <w:r w:rsidRPr="006C627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dotyczący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ch</w:t>
            </w:r>
            <w:r w:rsidRPr="006C627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realizacji zasad równościowych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6C6270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 ramach funduszy unijnych na lata 2021-2027</w:t>
            </w:r>
            <w:r w:rsidRPr="005E47CE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0E3C6EB4" w14:textId="77777777" w:rsidR="001D39F9" w:rsidRPr="00B5419C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B5419C">
              <w:rPr>
                <w:rFonts w:asciiTheme="minorHAnsi" w:hAnsiTheme="minorHAnsi" w:cs="Arial"/>
                <w:sz w:val="22"/>
                <w:szCs w:val="22"/>
              </w:rPr>
              <w:t xml:space="preserve">W przypadku gdy produkty (usługi) projektu nie mają swoich bezpośrednich użytkowników, dopuszczalne jest uznanie, że mają one charakter neutralny wobec zasady równości szans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B5419C">
              <w:rPr>
                <w:rFonts w:asciiTheme="minorHAnsi" w:hAnsiTheme="minorHAnsi" w:cs="Arial"/>
                <w:sz w:val="22"/>
                <w:szCs w:val="22"/>
              </w:rPr>
              <w:t xml:space="preserve">i niedyskryminacji. W przypadku uznania, że dany produkt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B5419C">
              <w:rPr>
                <w:rFonts w:asciiTheme="minorHAnsi" w:hAnsiTheme="minorHAnsi" w:cs="Arial"/>
                <w:sz w:val="22"/>
                <w:szCs w:val="22"/>
              </w:rPr>
              <w:t xml:space="preserve">(lub usługa) jest neutralny, projekt zawierający ten produkt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B5419C">
              <w:rPr>
                <w:rFonts w:asciiTheme="minorHAnsi" w:hAnsiTheme="minorHAnsi" w:cs="Arial"/>
                <w:sz w:val="22"/>
                <w:szCs w:val="22"/>
              </w:rPr>
              <w:t xml:space="preserve">(lub usługę) może być uznany za zgodny z zasadą równości szans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B5419C">
              <w:rPr>
                <w:rFonts w:asciiTheme="minorHAnsi" w:hAnsiTheme="minorHAnsi" w:cs="Arial"/>
                <w:sz w:val="22"/>
                <w:szCs w:val="22"/>
              </w:rPr>
              <w:t>i niedyskryminacji. Uznanie neutralności określonych produktów (usług) projektu nie zwalnia beneficjenta ze stosowania standardów dostępności dla realizacji pozostałej części projektu, dla której standardy dostępności mają zastosowanie.</w:t>
            </w:r>
          </w:p>
          <w:p w14:paraId="3F6F9A06" w14:textId="77777777" w:rsidR="001D39F9" w:rsidRPr="00AD41DE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r w:rsidRPr="001F421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Neutralność określonego produktu powinna być wyczerpująco wykazana przez Wnioskodawcę.</w:t>
            </w:r>
          </w:p>
        </w:tc>
        <w:tc>
          <w:tcPr>
            <w:tcW w:w="1701" w:type="dxa"/>
            <w:vAlign w:val="center"/>
          </w:tcPr>
          <w:p w14:paraId="3774BF95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4649" w:type="dxa"/>
            <w:vMerge/>
            <w:vAlign w:val="center"/>
          </w:tcPr>
          <w:p w14:paraId="14E68415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4F933B5E" w14:textId="77777777" w:rsidTr="005406E0">
        <w:trPr>
          <w:trHeight w:val="703"/>
        </w:trPr>
        <w:tc>
          <w:tcPr>
            <w:tcW w:w="557" w:type="dxa"/>
            <w:vMerge/>
          </w:tcPr>
          <w:p w14:paraId="619C5266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511ED91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5BD3BDB3" w14:textId="77777777" w:rsidR="001D39F9" w:rsidRPr="00E414C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>Przepisami antydyskryminacyjnymi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52156B0" w14:textId="77777777" w:rsidR="001D39F9" w:rsidRPr="00E414C9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0795E6" w14:textId="77777777" w:rsidR="001D39F9" w:rsidRPr="00E414C9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i beneficjentom, którzy przestrzegają przepisów antydyskryminacyjnych, o których mowa w art. 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 Rozporządzenia PE i Rady nr 2021/1060.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przypadku, gdy beneficjentem jest jednostka samorządu terytorialnego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(lub podmiot przez nią kontrolowany lub od niej zależny), która podjęła jakiekolwiek działania dyskryminujące, sprzeczne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z zasadami, o których mowa w art. 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 Rozporządzenia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nr 2021/1060 wsparcie w ramach polityki spójności nie może być 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udzielone. Weryfikacja spełnienia kryterium będzie odbywała się poprzez sprawdzenie dostępnych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 xml:space="preserve"> np. strona internetowa Rzecznika Praw Obywatelskich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D0E6AF9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320"/>
              <w:rPr>
                <w:rFonts w:asciiTheme="minorHAnsi" w:hAnsiTheme="minorHAnsi" w:cs="Arial"/>
                <w:sz w:val="22"/>
                <w:szCs w:val="22"/>
              </w:rPr>
            </w:pPr>
            <w:r w:rsidRPr="00E414C9">
              <w:rPr>
                <w:rFonts w:asciiTheme="minorHAnsi" w:hAnsiTheme="minorHAnsi" w:cstheme="minorHAnsi"/>
                <w:sz w:val="22"/>
                <w:szCs w:val="22"/>
              </w:rPr>
              <w:t>Kryterium uznaje się za spełnione jeśli JST (lub podmiot przez nią kontrolowany lub od niej zależny) nie widnieje w dostępnych danych na dzień zakończenia naboru.</w:t>
            </w:r>
          </w:p>
        </w:tc>
        <w:tc>
          <w:tcPr>
            <w:tcW w:w="1701" w:type="dxa"/>
            <w:vAlign w:val="center"/>
          </w:tcPr>
          <w:p w14:paraId="2D2ACB2B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D6F06">
              <w:rPr>
                <w:rFonts w:asciiTheme="minorHAnsi" w:hAnsiTheme="minorHAnsi" w:cs="Arial"/>
                <w:sz w:val="22"/>
                <w:szCs w:val="22"/>
              </w:rPr>
              <w:lastRenderedPageBreak/>
              <w:t>Tak/Nie</w:t>
            </w:r>
          </w:p>
        </w:tc>
        <w:tc>
          <w:tcPr>
            <w:tcW w:w="4649" w:type="dxa"/>
            <w:vMerge/>
            <w:vAlign w:val="center"/>
          </w:tcPr>
          <w:p w14:paraId="5DC0FC13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12C9D311" w14:textId="77777777" w:rsidTr="005406E0">
        <w:trPr>
          <w:trHeight w:val="703"/>
        </w:trPr>
        <w:tc>
          <w:tcPr>
            <w:tcW w:w="557" w:type="dxa"/>
            <w:vMerge/>
          </w:tcPr>
          <w:p w14:paraId="5E597683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92478FA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7741CC2F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ind w:left="465" w:hanging="465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</w:t>
            </w:r>
            <w:r w:rsidRPr="00531E5B">
              <w:rPr>
                <w:rFonts w:asciiTheme="minorHAnsi" w:hAnsiTheme="minorHAnsi" w:cs="Arial"/>
                <w:sz w:val="22"/>
                <w:szCs w:val="22"/>
              </w:rPr>
              <w:t>asadą zrównoważonego rozwoju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32431E36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3EAD043" w14:textId="77777777" w:rsidR="001D39F9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E2606D">
              <w:rPr>
                <w:rFonts w:asciiTheme="minorHAnsi" w:hAnsiTheme="minorHAnsi" w:cs="Arial"/>
                <w:sz w:val="22"/>
                <w:szCs w:val="22"/>
              </w:rPr>
              <w:t xml:space="preserve">Ocenie podlega czy projekt w zakresie odnoszącym się 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 xml:space="preserve">do sposobu realizacji i zakresu projektu jest zgodny z zasadą zrównoważonego rozwoju, o której mowa w art. 9 </w:t>
            </w:r>
            <w:r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>4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Rozporządzenia Parlamentu Europejskiego i Rady (UE)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  <w:t>nr 2021/1060</w:t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 xml:space="preserve"> z dnia 24 czerwca 2021 r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E2606D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72448197" w14:textId="77777777" w:rsidR="001D39F9" w:rsidRPr="00437E31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437E31">
              <w:rPr>
                <w:rFonts w:asciiTheme="minorHAnsi" w:hAnsiTheme="minorHAnsi" w:cs="Arial"/>
                <w:sz w:val="22"/>
                <w:szCs w:val="22"/>
              </w:rPr>
              <w:t>Kryterium uznaje się za spełnione, jeżeli projekt będzie miał pozytywny lub neutralny wpływ na ww. zasad</w:t>
            </w:r>
            <w:r>
              <w:rPr>
                <w:rFonts w:asciiTheme="minorHAnsi" w:hAnsiTheme="minorHAnsi" w:cs="Arial"/>
                <w:sz w:val="22"/>
                <w:szCs w:val="22"/>
              </w:rPr>
              <w:t>ę</w:t>
            </w:r>
            <w:r w:rsidRPr="00437E31">
              <w:rPr>
                <w:rFonts w:asciiTheme="minorHAnsi" w:hAnsiTheme="minorHAnsi" w:cs="Arial"/>
                <w:sz w:val="22"/>
                <w:szCs w:val="22"/>
              </w:rPr>
              <w:t>. Weryfikacja polegać będzie na sprawdzeniu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m.in. </w:t>
            </w:r>
            <w:r w:rsidRPr="00437E31">
              <w:rPr>
                <w:rFonts w:asciiTheme="minorHAnsi" w:hAnsiTheme="minorHAnsi" w:cs="Arial"/>
                <w:sz w:val="22"/>
                <w:szCs w:val="22"/>
              </w:rPr>
              <w:t>czy:</w:t>
            </w:r>
          </w:p>
          <w:p w14:paraId="492C633C" w14:textId="77777777" w:rsidR="001D39F9" w:rsidRPr="00437E31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437E31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437E31">
              <w:rPr>
                <w:rFonts w:asciiTheme="minorHAnsi" w:hAnsiTheme="minorHAnsi" w:cs="Arial"/>
                <w:sz w:val="22"/>
                <w:szCs w:val="22"/>
              </w:rPr>
              <w:tab/>
              <w:t>Wnioskodawca zastosował wspierające rozwiązania proekologiczne takie jak np.: oszczędność energii i wody, powtórne wykorzystanie zasobów, elektroniczny obieg dokumentów, efektywne gospodarowanie zakupionymi zasobami, itp.?</w:t>
            </w:r>
          </w:p>
          <w:p w14:paraId="46E7C57F" w14:textId="77777777" w:rsidR="001D39F9" w:rsidRPr="00437E31" w:rsidRDefault="001D39F9" w:rsidP="005406E0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437E31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Pr="00437E31">
              <w:rPr>
                <w:rFonts w:asciiTheme="minorHAnsi" w:hAnsiTheme="minorHAnsi" w:cs="Arial"/>
                <w:sz w:val="22"/>
                <w:szCs w:val="22"/>
              </w:rPr>
              <w:tab/>
              <w:t>Czy w celu zwiększenia efektów proekologicznych polityki spójności organizowane są działania w zakresie edukacji ekologicznej oraz podnoszenie kwalifikacji uczestników projektu, odbiorców usług/towarów itp.?</w:t>
            </w:r>
          </w:p>
          <w:p w14:paraId="7272AB31" w14:textId="2F1DFBDF" w:rsidR="001D39F9" w:rsidRPr="001D39F9" w:rsidRDefault="001D39F9" w:rsidP="001D39F9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  <w:r w:rsidRPr="002E71C6">
              <w:rPr>
                <w:rFonts w:asciiTheme="minorHAnsi" w:hAnsiTheme="minorHAnsi" w:cs="Arial"/>
                <w:sz w:val="22"/>
                <w:szCs w:val="22"/>
              </w:rPr>
              <w:t>Neutralność projektu jest dopuszczalna tylko w sytuacji, kiedy w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2E71C6">
              <w:rPr>
                <w:rFonts w:asciiTheme="minorHAnsi" w:hAnsiTheme="minorHAnsi" w:cs="Arial"/>
                <w:sz w:val="22"/>
                <w:szCs w:val="22"/>
              </w:rPr>
              <w:t xml:space="preserve">ramach projektu </w:t>
            </w:r>
            <w:r>
              <w:rPr>
                <w:rFonts w:asciiTheme="minorHAnsi" w:hAnsiTheme="minorHAnsi" w:cs="Arial"/>
                <w:sz w:val="22"/>
                <w:szCs w:val="22"/>
              </w:rPr>
              <w:t>W</w:t>
            </w:r>
            <w:r w:rsidRPr="002E71C6">
              <w:rPr>
                <w:rFonts w:asciiTheme="minorHAnsi" w:hAnsiTheme="minorHAnsi" w:cs="Arial"/>
                <w:sz w:val="22"/>
                <w:szCs w:val="22"/>
              </w:rPr>
              <w:t>nioskodawca wskaże szczegółowe uzasadnienie, dlaczego dany projekt nie jest w stanie zrealizować jakichkolwiek działań wpływających na spełnienie ww. zasady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341E640C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E27E7F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CF0F3E8" w14:textId="77777777" w:rsidR="001D39F9" w:rsidRPr="00A76FF3" w:rsidRDefault="001D39F9" w:rsidP="005406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11A8AFA6" w14:textId="77777777" w:rsidTr="005406E0">
        <w:trPr>
          <w:trHeight w:val="703"/>
        </w:trPr>
        <w:tc>
          <w:tcPr>
            <w:tcW w:w="557" w:type="dxa"/>
            <w:vMerge/>
          </w:tcPr>
          <w:p w14:paraId="63B2E719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158A590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0D46C57" w14:textId="77777777" w:rsidR="001D39F9" w:rsidRPr="003540A2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3540A2">
              <w:rPr>
                <w:rFonts w:asciiTheme="minorHAnsi" w:hAnsiTheme="minorHAnsi" w:cs="Arial"/>
                <w:sz w:val="22"/>
                <w:szCs w:val="22"/>
              </w:rPr>
              <w:t>Zasadą „nie czyń poważnych szkód” (DNSH).</w:t>
            </w:r>
          </w:p>
          <w:p w14:paraId="104D1615" w14:textId="77777777" w:rsidR="001D39F9" w:rsidRPr="003540A2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854DA40" w14:textId="77777777" w:rsidR="001D39F9" w:rsidRPr="003540A2" w:rsidRDefault="001D39F9" w:rsidP="005406E0">
            <w:pPr>
              <w:suppressAutoHyphens w:val="0"/>
              <w:spacing w:before="0" w:line="276" w:lineRule="auto"/>
              <w:ind w:left="320"/>
              <w:rPr>
                <w:rFonts w:asciiTheme="minorHAnsi" w:hAnsiTheme="minorHAnsi" w:cs="Arial"/>
                <w:sz w:val="22"/>
                <w:szCs w:val="22"/>
              </w:rPr>
            </w:pPr>
            <w:r w:rsidRPr="00374A5C">
              <w:rPr>
                <w:rFonts w:asciiTheme="minorHAnsi" w:hAnsiTheme="minorHAnsi" w:cs="Arial"/>
                <w:sz w:val="22"/>
                <w:szCs w:val="22"/>
              </w:rPr>
              <w:t>Ocenie podlega czy projekt jest zgodny z ww. zasadą, rozumianą jako brak sprzeczności zapisów projektu z wymogami dokumentu pt. „</w:t>
            </w:r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Ocena zgodności projektu programu regionalnego na lata 2021-2027 Fundusze Europejskie dla Warmii i Mazur z zasadą „do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 </w:t>
            </w:r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no </w:t>
            </w:r>
            <w:proofErr w:type="spellStart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significant</w:t>
            </w:r>
            <w:proofErr w:type="spellEnd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harm</w:t>
            </w:r>
            <w:proofErr w:type="spellEnd"/>
            <w:r w:rsidRPr="00374A5C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” (DNSH), czyli „nie czyń poważnych szkód”</w:t>
            </w:r>
            <w:r w:rsidRPr="00374A5C">
              <w:t xml:space="preserve"> </w:t>
            </w:r>
            <w:r w:rsidRPr="00374A5C">
              <w:rPr>
                <w:rFonts w:asciiTheme="minorHAnsi" w:hAnsiTheme="minorHAnsi" w:cs="Arial"/>
                <w:sz w:val="22"/>
                <w:szCs w:val="22"/>
              </w:rPr>
              <w:t>lub stwierdzenie, że te wymagania są neutralne wobec zakresu i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Pr="00374A5C">
              <w:rPr>
                <w:rFonts w:asciiTheme="minorHAnsi" w:hAnsiTheme="minorHAnsi" w:cs="Arial"/>
                <w:sz w:val="22"/>
                <w:szCs w:val="22"/>
              </w:rPr>
              <w:t>zawartości projektu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6A45B30C" w14:textId="77777777" w:rsidR="001D39F9" w:rsidRPr="005D6F06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30AC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0EF2BF7C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65E740D3" w14:textId="77777777" w:rsidTr="005406E0">
        <w:trPr>
          <w:trHeight w:val="703"/>
        </w:trPr>
        <w:tc>
          <w:tcPr>
            <w:tcW w:w="557" w:type="dxa"/>
            <w:vMerge/>
          </w:tcPr>
          <w:p w14:paraId="0F671E3E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01FFE713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5150805E" w14:textId="77777777" w:rsidR="001D39F9" w:rsidRPr="00D4169F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E64EA">
              <w:rPr>
                <w:rFonts w:asciiTheme="minorHAnsi" w:hAnsiTheme="minorHAnsi" w:cs="Arial"/>
                <w:sz w:val="22"/>
                <w:szCs w:val="22"/>
              </w:rPr>
              <w:t xml:space="preserve">Ustawą PZP lub zasadą konkurencyjności opisaną w </w:t>
            </w:r>
            <w:r w:rsidRPr="002E64EA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Wytycznych dotyczących kwalifikowalności wydatków </w:t>
            </w:r>
            <w:r w:rsidRPr="00B732AB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na lata 2021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-2027.</w:t>
            </w:r>
          </w:p>
          <w:p w14:paraId="18598665" w14:textId="77777777" w:rsidR="001D39F9" w:rsidRPr="00D4169F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D859EEB" w14:textId="77777777" w:rsidR="001D39F9" w:rsidRPr="007C4A08" w:rsidRDefault="001D39F9" w:rsidP="005406E0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 xml:space="preserve">Ocenie podlega 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planowana</w:t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 xml:space="preserve"> realizacja projektu jest zgodna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4169F">
              <w:rPr>
                <w:rFonts w:asciiTheme="minorHAnsi" w:hAnsiTheme="minorHAnsi" w:cstheme="minorHAnsi"/>
                <w:sz w:val="22"/>
                <w:szCs w:val="22"/>
              </w:rPr>
              <w:t xml:space="preserve">z zapisami ustawy PZP, w tym uwzględnia zielone zamówienia promujące aspekty środowiskowe i społeczne oraz wytycznymi ministra właściwego ds. rozwoju regionalnego tj. </w:t>
            </w:r>
            <w:r w:rsidRPr="00D416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Wytycznymi dotyczącymi kwalifikowalności wydatków na lata 2021-2027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1701" w:type="dxa"/>
            <w:vAlign w:val="center"/>
          </w:tcPr>
          <w:p w14:paraId="4A2E6920" w14:textId="77777777" w:rsidR="001D39F9" w:rsidRPr="005D6F06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A30AC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7183BC99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39F9" w:rsidRPr="00E27E7F" w14:paraId="311330D2" w14:textId="77777777" w:rsidTr="005406E0">
        <w:trPr>
          <w:trHeight w:val="703"/>
        </w:trPr>
        <w:tc>
          <w:tcPr>
            <w:tcW w:w="557" w:type="dxa"/>
            <w:vMerge/>
          </w:tcPr>
          <w:p w14:paraId="73AED99B" w14:textId="77777777" w:rsidR="001D39F9" w:rsidRPr="00E27E7F" w:rsidRDefault="001D39F9" w:rsidP="005406E0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5DF1249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520" w:type="dxa"/>
            <w:vAlign w:val="center"/>
          </w:tcPr>
          <w:p w14:paraId="29CD417A" w14:textId="77777777" w:rsidR="001D39F9" w:rsidRDefault="001D39F9" w:rsidP="005406E0">
            <w:pPr>
              <w:pStyle w:val="Akapitzlist"/>
              <w:numPr>
                <w:ilvl w:val="0"/>
                <w:numId w:val="17"/>
              </w:numPr>
              <w:suppressAutoHyphens w:val="0"/>
              <w:ind w:left="463" w:hanging="463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oraz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Strategią komunikacji programu Fundusze Europejskie dla Warmii i Mazur na lata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2021–2027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t>?</w:t>
            </w:r>
          </w:p>
          <w:p w14:paraId="4255BFAF" w14:textId="77777777" w:rsidR="001D39F9" w:rsidRPr="00D4169F" w:rsidRDefault="001D39F9" w:rsidP="005406E0">
            <w:pPr>
              <w:suppressAutoHyphens w:val="0"/>
              <w:ind w:left="452"/>
              <w:rPr>
                <w:rFonts w:asciiTheme="minorHAnsi" w:hAnsiTheme="minorHAnsi" w:cs="Arial"/>
                <w:sz w:val="22"/>
                <w:szCs w:val="22"/>
              </w:rPr>
            </w:pP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Ocenie podlega czy zaplanowane działania w projekcie są zgodne z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D4169F">
              <w:rPr>
                <w:rFonts w:asciiTheme="minorHAnsi" w:hAnsiTheme="minorHAnsi" w:cs="Arial"/>
                <w:sz w:val="22"/>
                <w:szCs w:val="22"/>
              </w:rPr>
              <w:t xml:space="preserve"> oraz </w:t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Strategią komunikacji programu Fundusze Europejskie dla Warmii i Mazur na lata 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D4169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2021–2027?</w:t>
            </w:r>
          </w:p>
        </w:tc>
        <w:tc>
          <w:tcPr>
            <w:tcW w:w="1701" w:type="dxa"/>
            <w:vAlign w:val="center"/>
          </w:tcPr>
          <w:p w14:paraId="6EA778A9" w14:textId="77777777" w:rsidR="001D39F9" w:rsidRPr="00E27E7F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D6F06">
              <w:rPr>
                <w:rFonts w:asciiTheme="minorHAnsi" w:hAnsiTheme="minorHAnsi" w:cs="Arial"/>
                <w:sz w:val="22"/>
                <w:szCs w:val="22"/>
              </w:rPr>
              <w:t>Tak/Nie</w:t>
            </w:r>
          </w:p>
        </w:tc>
        <w:tc>
          <w:tcPr>
            <w:tcW w:w="4649" w:type="dxa"/>
            <w:vMerge/>
            <w:vAlign w:val="center"/>
          </w:tcPr>
          <w:p w14:paraId="29CCCE4D" w14:textId="77777777" w:rsidR="001D39F9" w:rsidRPr="00A76FF3" w:rsidRDefault="001D39F9" w:rsidP="005406E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1CA91B5" w14:textId="77777777" w:rsidR="006278EA" w:rsidRDefault="006278EA" w:rsidP="001767D2">
      <w:pPr>
        <w:spacing w:before="0" w:line="240" w:lineRule="auto"/>
        <w:rPr>
          <w:rFonts w:ascii="Arial" w:eastAsia="Calibri" w:hAnsi="Arial" w:cs="Arial"/>
          <w:sz w:val="20"/>
          <w:szCs w:val="20"/>
        </w:rPr>
      </w:pPr>
    </w:p>
    <w:sectPr w:rsidR="006278EA" w:rsidSect="008B17DB">
      <w:footerReference w:type="default" r:id="rId9"/>
      <w:headerReference w:type="first" r:id="rId10"/>
      <w:pgSz w:w="16838" w:h="11906" w:orient="landscape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B2DC2" w14:textId="77777777" w:rsidR="00FC1AB4" w:rsidRDefault="00FC1AB4" w:rsidP="00E1358D">
      <w:pPr>
        <w:spacing w:before="0" w:line="240" w:lineRule="auto"/>
      </w:pPr>
      <w:r>
        <w:separator/>
      </w:r>
    </w:p>
  </w:endnote>
  <w:endnote w:type="continuationSeparator" w:id="0">
    <w:p w14:paraId="25F97602" w14:textId="77777777" w:rsidR="00FC1AB4" w:rsidRDefault="00FC1AB4" w:rsidP="00E1358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2704"/>
      <w:docPartObj>
        <w:docPartGallery w:val="Page Numbers (Bottom of Page)"/>
        <w:docPartUnique/>
      </w:docPartObj>
    </w:sdtPr>
    <w:sdtEndPr/>
    <w:sdtContent>
      <w:p w14:paraId="3764E3CB" w14:textId="42A325F5" w:rsidR="008A5D93" w:rsidRDefault="00D7287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422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483AA9A" w14:textId="77777777" w:rsidR="008A5D93" w:rsidRDefault="008A5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D7B4" w14:textId="77777777" w:rsidR="00FC1AB4" w:rsidRDefault="00FC1AB4" w:rsidP="00E1358D">
      <w:pPr>
        <w:spacing w:before="0" w:line="240" w:lineRule="auto"/>
      </w:pPr>
      <w:r>
        <w:separator/>
      </w:r>
    </w:p>
  </w:footnote>
  <w:footnote w:type="continuationSeparator" w:id="0">
    <w:p w14:paraId="2A88119A" w14:textId="77777777" w:rsidR="00FC1AB4" w:rsidRDefault="00FC1AB4" w:rsidP="00E1358D">
      <w:pPr>
        <w:spacing w:before="0" w:line="240" w:lineRule="auto"/>
      </w:pPr>
      <w:r>
        <w:continuationSeparator/>
      </w:r>
    </w:p>
  </w:footnote>
  <w:footnote w:id="1">
    <w:p w14:paraId="4844C1C1" w14:textId="77777777" w:rsidR="001D39F9" w:rsidRPr="001D2067" w:rsidRDefault="001D39F9" w:rsidP="001D39F9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1D2067">
        <w:rPr>
          <w:rFonts w:asciiTheme="minorHAnsi" w:hAnsiTheme="minorHAnsi" w:cstheme="minorHAnsi"/>
        </w:rPr>
        <w:t>W przypadku wszystkich wymienionych dokumentów pod uwagę przy ocenie projektu będą brane wersje aktualne na dzień rozpoczęcia naboru.</w:t>
      </w:r>
      <w:r>
        <w:rPr>
          <w:rFonts w:asciiTheme="minorHAnsi" w:hAnsiTheme="minorHAnsi" w:cstheme="minorHAnsi"/>
        </w:rPr>
        <w:t xml:space="preserve">  W sytuacji gdy zmianie ulegnie SZOP w późniejszym terminie (szczególnie po zakończeniu naboru) przy ocenie lub potwierdzaniu  spełniania kryterium (w związku z art. 62 ustawy z dnia 28 kwietnia 2022 r. o zasadach realizacji zadań finansowych ze środków europejskich w perspektywie finansowej 2021-2027) zastosowanie znajdą zapisy korzystniejsze dla Wnioskodawcy.</w:t>
      </w:r>
    </w:p>
  </w:footnote>
  <w:footnote w:id="2">
    <w:p w14:paraId="10C9DE4F" w14:textId="77777777" w:rsidR="001D39F9" w:rsidRPr="003568B2" w:rsidRDefault="001D39F9" w:rsidP="001D39F9">
      <w:pPr>
        <w:pStyle w:val="Tekstprzypisudolnego"/>
        <w:rPr>
          <w:rFonts w:asciiTheme="minorHAnsi" w:hAnsiTheme="minorHAnsi" w:cstheme="minorHAnsi"/>
        </w:rPr>
      </w:pPr>
      <w:r w:rsidRPr="003568B2">
        <w:rPr>
          <w:rStyle w:val="Odwoanieprzypisudolnego"/>
          <w:rFonts w:asciiTheme="minorHAnsi" w:hAnsiTheme="minorHAnsi" w:cstheme="minorHAnsi"/>
        </w:rPr>
        <w:footnoteRef/>
      </w:r>
      <w:r w:rsidRPr="003568B2">
        <w:rPr>
          <w:rFonts w:asciiTheme="minorHAnsi" w:hAnsiTheme="minorHAnsi" w:cstheme="minorHAnsi"/>
        </w:rPr>
        <w:t xml:space="preserve"> W przypadku wszystkich wymienionych dokumentów pod uwagę przy ocenie projektu będą brane wersje aktualne na dzień rozpoczęcia naboru.</w:t>
      </w:r>
    </w:p>
  </w:footnote>
  <w:footnote w:id="3">
    <w:p w14:paraId="2B624455" w14:textId="77777777" w:rsidR="001D39F9" w:rsidRPr="003568B2" w:rsidRDefault="001D39F9" w:rsidP="001D39F9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3568B2">
        <w:rPr>
          <w:rFonts w:asciiTheme="minorHAnsi" w:hAnsiTheme="minorHAnsi" w:cstheme="minorHAnsi"/>
        </w:rPr>
        <w:t>W przypadku wszystkich wymienionych dokumentów pod uwagę przy ocenie projektu będą brane wersje aktualne na dzień rozpoczęcia naboru.</w:t>
      </w:r>
    </w:p>
    <w:p w14:paraId="73E43D3A" w14:textId="77777777" w:rsidR="001D39F9" w:rsidRDefault="001D39F9" w:rsidP="001D39F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516E4" w14:textId="663F9791" w:rsidR="008A5D93" w:rsidRPr="00E70725" w:rsidRDefault="008A5D93" w:rsidP="00074700">
    <w:pPr>
      <w:pStyle w:val="Nagwek"/>
      <w:ind w:left="28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6E70"/>
    <w:multiLevelType w:val="hybridMultilevel"/>
    <w:tmpl w:val="FD0C6D76"/>
    <w:lvl w:ilvl="0" w:tplc="EA508A9C">
      <w:start w:val="1"/>
      <w:numFmt w:val="lowerLetter"/>
      <w:lvlText w:val="%1)"/>
      <w:lvlJc w:val="left"/>
      <w:pPr>
        <w:ind w:left="108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B12AE"/>
    <w:multiLevelType w:val="hybridMultilevel"/>
    <w:tmpl w:val="9E68868E"/>
    <w:lvl w:ilvl="0" w:tplc="8224281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13F25"/>
    <w:multiLevelType w:val="hybridMultilevel"/>
    <w:tmpl w:val="8A02DBAC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1030465A"/>
    <w:multiLevelType w:val="hybridMultilevel"/>
    <w:tmpl w:val="64CEB4D6"/>
    <w:lvl w:ilvl="0" w:tplc="4E32251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93B91"/>
    <w:multiLevelType w:val="hybridMultilevel"/>
    <w:tmpl w:val="F83A6930"/>
    <w:lvl w:ilvl="0" w:tplc="B4EE96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C6361"/>
    <w:multiLevelType w:val="hybridMultilevel"/>
    <w:tmpl w:val="940C3DBA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208374D8"/>
    <w:multiLevelType w:val="hybridMultilevel"/>
    <w:tmpl w:val="66B81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E4B9E"/>
    <w:multiLevelType w:val="hybridMultilevel"/>
    <w:tmpl w:val="0AC6B7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31DEB"/>
    <w:multiLevelType w:val="hybridMultilevel"/>
    <w:tmpl w:val="AFA28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33F7C"/>
    <w:multiLevelType w:val="hybridMultilevel"/>
    <w:tmpl w:val="83AE4E74"/>
    <w:lvl w:ilvl="0" w:tplc="0AD4A7B0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791C24"/>
    <w:multiLevelType w:val="hybridMultilevel"/>
    <w:tmpl w:val="66B81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B724B0"/>
    <w:multiLevelType w:val="hybridMultilevel"/>
    <w:tmpl w:val="0BE0093E"/>
    <w:lvl w:ilvl="0" w:tplc="F86CE93A">
      <w:start w:val="1"/>
      <w:numFmt w:val="lowerLetter"/>
      <w:lvlText w:val="%1)"/>
      <w:lvlJc w:val="left"/>
      <w:pPr>
        <w:ind w:left="111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2" w15:restartNumberingAfterBreak="0">
    <w:nsid w:val="5A792569"/>
    <w:multiLevelType w:val="hybridMultilevel"/>
    <w:tmpl w:val="F83A6930"/>
    <w:lvl w:ilvl="0" w:tplc="B4EE96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04599"/>
    <w:multiLevelType w:val="hybridMultilevel"/>
    <w:tmpl w:val="68E46606"/>
    <w:lvl w:ilvl="0" w:tplc="7736E18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A517E"/>
    <w:multiLevelType w:val="hybridMultilevel"/>
    <w:tmpl w:val="65EEFC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D4DC1"/>
    <w:multiLevelType w:val="hybridMultilevel"/>
    <w:tmpl w:val="08C4A4B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D0EFE"/>
    <w:multiLevelType w:val="hybridMultilevel"/>
    <w:tmpl w:val="BBBA7AE4"/>
    <w:lvl w:ilvl="0" w:tplc="0C8A78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5"/>
  </w:num>
  <w:num w:numId="6">
    <w:abstractNumId w:val="2"/>
  </w:num>
  <w:num w:numId="7">
    <w:abstractNumId w:val="15"/>
  </w:num>
  <w:num w:numId="8">
    <w:abstractNumId w:val="0"/>
  </w:num>
  <w:num w:numId="9">
    <w:abstractNumId w:val="12"/>
  </w:num>
  <w:num w:numId="10">
    <w:abstractNumId w:val="11"/>
  </w:num>
  <w:num w:numId="11">
    <w:abstractNumId w:val="3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6"/>
  </w:num>
  <w:num w:numId="1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58D"/>
    <w:rsid w:val="000017ED"/>
    <w:rsid w:val="00002A79"/>
    <w:rsid w:val="000048C7"/>
    <w:rsid w:val="00004A5B"/>
    <w:rsid w:val="00006E2A"/>
    <w:rsid w:val="000111A8"/>
    <w:rsid w:val="000149E2"/>
    <w:rsid w:val="0001602F"/>
    <w:rsid w:val="00016303"/>
    <w:rsid w:val="00017BF9"/>
    <w:rsid w:val="00020F04"/>
    <w:rsid w:val="000214E5"/>
    <w:rsid w:val="00023AC7"/>
    <w:rsid w:val="00023E7B"/>
    <w:rsid w:val="00026302"/>
    <w:rsid w:val="00026AC1"/>
    <w:rsid w:val="00027755"/>
    <w:rsid w:val="00033A20"/>
    <w:rsid w:val="00034A53"/>
    <w:rsid w:val="00035400"/>
    <w:rsid w:val="00036769"/>
    <w:rsid w:val="000377AE"/>
    <w:rsid w:val="00037BBD"/>
    <w:rsid w:val="00043A67"/>
    <w:rsid w:val="00045648"/>
    <w:rsid w:val="0005498C"/>
    <w:rsid w:val="00061440"/>
    <w:rsid w:val="000634C0"/>
    <w:rsid w:val="00063BBF"/>
    <w:rsid w:val="00064F5F"/>
    <w:rsid w:val="00067043"/>
    <w:rsid w:val="000673E0"/>
    <w:rsid w:val="00070CDD"/>
    <w:rsid w:val="00074700"/>
    <w:rsid w:val="000763E1"/>
    <w:rsid w:val="00076BB5"/>
    <w:rsid w:val="0008200A"/>
    <w:rsid w:val="00086307"/>
    <w:rsid w:val="000900FB"/>
    <w:rsid w:val="00090EAA"/>
    <w:rsid w:val="000952E4"/>
    <w:rsid w:val="0009609D"/>
    <w:rsid w:val="000969D7"/>
    <w:rsid w:val="0009766D"/>
    <w:rsid w:val="000A0135"/>
    <w:rsid w:val="000A1E60"/>
    <w:rsid w:val="000A335E"/>
    <w:rsid w:val="000B0629"/>
    <w:rsid w:val="000B1BE2"/>
    <w:rsid w:val="000B5878"/>
    <w:rsid w:val="000B5F9E"/>
    <w:rsid w:val="000B6AE7"/>
    <w:rsid w:val="000B6B05"/>
    <w:rsid w:val="000C13FE"/>
    <w:rsid w:val="000C1A8D"/>
    <w:rsid w:val="000C1EEF"/>
    <w:rsid w:val="000C5D0F"/>
    <w:rsid w:val="000D20C0"/>
    <w:rsid w:val="000D220F"/>
    <w:rsid w:val="000D2804"/>
    <w:rsid w:val="000D4A51"/>
    <w:rsid w:val="000D54F0"/>
    <w:rsid w:val="000E169B"/>
    <w:rsid w:val="000E294A"/>
    <w:rsid w:val="000E372F"/>
    <w:rsid w:val="000E6989"/>
    <w:rsid w:val="000E6F76"/>
    <w:rsid w:val="000E7C48"/>
    <w:rsid w:val="000E7E4E"/>
    <w:rsid w:val="000F15D4"/>
    <w:rsid w:val="000F1C35"/>
    <w:rsid w:val="000F1CE8"/>
    <w:rsid w:val="000F57C2"/>
    <w:rsid w:val="000F6AF6"/>
    <w:rsid w:val="00101D07"/>
    <w:rsid w:val="001021CF"/>
    <w:rsid w:val="00102385"/>
    <w:rsid w:val="00107AF6"/>
    <w:rsid w:val="00107F3F"/>
    <w:rsid w:val="001109F4"/>
    <w:rsid w:val="00110A2A"/>
    <w:rsid w:val="001129FC"/>
    <w:rsid w:val="00113DA6"/>
    <w:rsid w:val="00117D88"/>
    <w:rsid w:val="00122597"/>
    <w:rsid w:val="00122CDB"/>
    <w:rsid w:val="001232E5"/>
    <w:rsid w:val="0012344F"/>
    <w:rsid w:val="0012422C"/>
    <w:rsid w:val="00130F8A"/>
    <w:rsid w:val="001310D8"/>
    <w:rsid w:val="001336C2"/>
    <w:rsid w:val="00133C91"/>
    <w:rsid w:val="00141FD1"/>
    <w:rsid w:val="00144211"/>
    <w:rsid w:val="00144805"/>
    <w:rsid w:val="00150528"/>
    <w:rsid w:val="00153BBC"/>
    <w:rsid w:val="001577A6"/>
    <w:rsid w:val="001657A3"/>
    <w:rsid w:val="00165C68"/>
    <w:rsid w:val="001677F9"/>
    <w:rsid w:val="00170DB6"/>
    <w:rsid w:val="00171C66"/>
    <w:rsid w:val="00172192"/>
    <w:rsid w:val="00173C7A"/>
    <w:rsid w:val="00174307"/>
    <w:rsid w:val="00174426"/>
    <w:rsid w:val="001744AC"/>
    <w:rsid w:val="00174A2A"/>
    <w:rsid w:val="001767D2"/>
    <w:rsid w:val="0018062E"/>
    <w:rsid w:val="001813CD"/>
    <w:rsid w:val="00183008"/>
    <w:rsid w:val="0018364A"/>
    <w:rsid w:val="0018403A"/>
    <w:rsid w:val="001876C5"/>
    <w:rsid w:val="00196BCD"/>
    <w:rsid w:val="00197C1A"/>
    <w:rsid w:val="001A05A6"/>
    <w:rsid w:val="001A0FAC"/>
    <w:rsid w:val="001A5A60"/>
    <w:rsid w:val="001B22CA"/>
    <w:rsid w:val="001B2D62"/>
    <w:rsid w:val="001C15BE"/>
    <w:rsid w:val="001C20B7"/>
    <w:rsid w:val="001C2425"/>
    <w:rsid w:val="001C5A05"/>
    <w:rsid w:val="001C7614"/>
    <w:rsid w:val="001D0299"/>
    <w:rsid w:val="001D2067"/>
    <w:rsid w:val="001D2261"/>
    <w:rsid w:val="001D39F9"/>
    <w:rsid w:val="001D3D4A"/>
    <w:rsid w:val="001D4D0F"/>
    <w:rsid w:val="001E013A"/>
    <w:rsid w:val="001E1498"/>
    <w:rsid w:val="001E1A32"/>
    <w:rsid w:val="001E4C4F"/>
    <w:rsid w:val="001E505E"/>
    <w:rsid w:val="001F230E"/>
    <w:rsid w:val="001F2C38"/>
    <w:rsid w:val="001F37D2"/>
    <w:rsid w:val="001F4174"/>
    <w:rsid w:val="001F421E"/>
    <w:rsid w:val="001F46BC"/>
    <w:rsid w:val="001F6F57"/>
    <w:rsid w:val="001F70A1"/>
    <w:rsid w:val="002015E1"/>
    <w:rsid w:val="0020481A"/>
    <w:rsid w:val="002050FA"/>
    <w:rsid w:val="00210D26"/>
    <w:rsid w:val="00210DE5"/>
    <w:rsid w:val="00212F9C"/>
    <w:rsid w:val="00214378"/>
    <w:rsid w:val="00215E04"/>
    <w:rsid w:val="00217965"/>
    <w:rsid w:val="00220DB4"/>
    <w:rsid w:val="00221EBB"/>
    <w:rsid w:val="00224254"/>
    <w:rsid w:val="002252C7"/>
    <w:rsid w:val="00225886"/>
    <w:rsid w:val="00225970"/>
    <w:rsid w:val="00225BBB"/>
    <w:rsid w:val="002365F4"/>
    <w:rsid w:val="00241AA6"/>
    <w:rsid w:val="0024458F"/>
    <w:rsid w:val="00245ABB"/>
    <w:rsid w:val="00245B11"/>
    <w:rsid w:val="0024713A"/>
    <w:rsid w:val="00250897"/>
    <w:rsid w:val="002518D4"/>
    <w:rsid w:val="002567B2"/>
    <w:rsid w:val="00256D12"/>
    <w:rsid w:val="00256F1A"/>
    <w:rsid w:val="0026692C"/>
    <w:rsid w:val="00267587"/>
    <w:rsid w:val="00274DDA"/>
    <w:rsid w:val="00275FDE"/>
    <w:rsid w:val="00281EAA"/>
    <w:rsid w:val="00281FC7"/>
    <w:rsid w:val="0028275B"/>
    <w:rsid w:val="002828FE"/>
    <w:rsid w:val="00283011"/>
    <w:rsid w:val="00283879"/>
    <w:rsid w:val="00283DFC"/>
    <w:rsid w:val="00284691"/>
    <w:rsid w:val="00287173"/>
    <w:rsid w:val="00287D37"/>
    <w:rsid w:val="0029161F"/>
    <w:rsid w:val="0029205C"/>
    <w:rsid w:val="00296307"/>
    <w:rsid w:val="0029685F"/>
    <w:rsid w:val="002A45D7"/>
    <w:rsid w:val="002A59C1"/>
    <w:rsid w:val="002A5E4F"/>
    <w:rsid w:val="002A63C6"/>
    <w:rsid w:val="002B1505"/>
    <w:rsid w:val="002B47FD"/>
    <w:rsid w:val="002B5C9E"/>
    <w:rsid w:val="002B6419"/>
    <w:rsid w:val="002B67B8"/>
    <w:rsid w:val="002C345D"/>
    <w:rsid w:val="002D0B7A"/>
    <w:rsid w:val="002D1077"/>
    <w:rsid w:val="002D1521"/>
    <w:rsid w:val="002D1AF9"/>
    <w:rsid w:val="002D1B54"/>
    <w:rsid w:val="002D1BD9"/>
    <w:rsid w:val="002E07D3"/>
    <w:rsid w:val="002E1317"/>
    <w:rsid w:val="002E18A5"/>
    <w:rsid w:val="002E56C3"/>
    <w:rsid w:val="002E5E54"/>
    <w:rsid w:val="002E64EA"/>
    <w:rsid w:val="002E71C6"/>
    <w:rsid w:val="002F2948"/>
    <w:rsid w:val="002F29AE"/>
    <w:rsid w:val="002F2D4A"/>
    <w:rsid w:val="002F4654"/>
    <w:rsid w:val="002F62FB"/>
    <w:rsid w:val="002F70D4"/>
    <w:rsid w:val="003000F1"/>
    <w:rsid w:val="00301064"/>
    <w:rsid w:val="00304CFF"/>
    <w:rsid w:val="003059F4"/>
    <w:rsid w:val="00305D21"/>
    <w:rsid w:val="0030690C"/>
    <w:rsid w:val="00310B43"/>
    <w:rsid w:val="0031131C"/>
    <w:rsid w:val="00312600"/>
    <w:rsid w:val="003136C7"/>
    <w:rsid w:val="00315C7B"/>
    <w:rsid w:val="00317C2A"/>
    <w:rsid w:val="0032010C"/>
    <w:rsid w:val="0032479D"/>
    <w:rsid w:val="0032690A"/>
    <w:rsid w:val="00327169"/>
    <w:rsid w:val="00327A42"/>
    <w:rsid w:val="00327EA2"/>
    <w:rsid w:val="003302CC"/>
    <w:rsid w:val="003307A2"/>
    <w:rsid w:val="003324E6"/>
    <w:rsid w:val="00335B7E"/>
    <w:rsid w:val="0034006F"/>
    <w:rsid w:val="00341661"/>
    <w:rsid w:val="00342B27"/>
    <w:rsid w:val="00345FD7"/>
    <w:rsid w:val="003472BD"/>
    <w:rsid w:val="0035054B"/>
    <w:rsid w:val="003509A4"/>
    <w:rsid w:val="003540A2"/>
    <w:rsid w:val="003544EF"/>
    <w:rsid w:val="003564F6"/>
    <w:rsid w:val="003568B2"/>
    <w:rsid w:val="00356B2F"/>
    <w:rsid w:val="003605DB"/>
    <w:rsid w:val="00361955"/>
    <w:rsid w:val="00361DA7"/>
    <w:rsid w:val="00361F3E"/>
    <w:rsid w:val="00364BF7"/>
    <w:rsid w:val="00365D97"/>
    <w:rsid w:val="003729C3"/>
    <w:rsid w:val="00372BF2"/>
    <w:rsid w:val="00373906"/>
    <w:rsid w:val="00374170"/>
    <w:rsid w:val="00374A5C"/>
    <w:rsid w:val="00377D36"/>
    <w:rsid w:val="00381DB0"/>
    <w:rsid w:val="00386264"/>
    <w:rsid w:val="00386E5D"/>
    <w:rsid w:val="00390387"/>
    <w:rsid w:val="003906FD"/>
    <w:rsid w:val="00397DAC"/>
    <w:rsid w:val="003A13DB"/>
    <w:rsid w:val="003A2890"/>
    <w:rsid w:val="003A64FD"/>
    <w:rsid w:val="003B34BE"/>
    <w:rsid w:val="003B42A2"/>
    <w:rsid w:val="003B6E02"/>
    <w:rsid w:val="003C0774"/>
    <w:rsid w:val="003C2528"/>
    <w:rsid w:val="003C4170"/>
    <w:rsid w:val="003C6991"/>
    <w:rsid w:val="003C6AD6"/>
    <w:rsid w:val="003C6FF0"/>
    <w:rsid w:val="003D5FE4"/>
    <w:rsid w:val="003D702E"/>
    <w:rsid w:val="003E09B0"/>
    <w:rsid w:val="003E0CA9"/>
    <w:rsid w:val="003E1121"/>
    <w:rsid w:val="003E25C2"/>
    <w:rsid w:val="003E2D32"/>
    <w:rsid w:val="003E47A6"/>
    <w:rsid w:val="003E6635"/>
    <w:rsid w:val="003F1035"/>
    <w:rsid w:val="003F4DD5"/>
    <w:rsid w:val="003F5826"/>
    <w:rsid w:val="003F5B9B"/>
    <w:rsid w:val="003F6437"/>
    <w:rsid w:val="00400536"/>
    <w:rsid w:val="00400F8A"/>
    <w:rsid w:val="00403667"/>
    <w:rsid w:val="00404427"/>
    <w:rsid w:val="00404452"/>
    <w:rsid w:val="00405CB6"/>
    <w:rsid w:val="00405EEB"/>
    <w:rsid w:val="00406C96"/>
    <w:rsid w:val="00412F93"/>
    <w:rsid w:val="00413FCF"/>
    <w:rsid w:val="00417537"/>
    <w:rsid w:val="00425E5B"/>
    <w:rsid w:val="00431DAD"/>
    <w:rsid w:val="004333A4"/>
    <w:rsid w:val="00433711"/>
    <w:rsid w:val="00437E31"/>
    <w:rsid w:val="004440B4"/>
    <w:rsid w:val="004453A9"/>
    <w:rsid w:val="00445865"/>
    <w:rsid w:val="00445EE6"/>
    <w:rsid w:val="004478CF"/>
    <w:rsid w:val="00457824"/>
    <w:rsid w:val="0046126B"/>
    <w:rsid w:val="0046179F"/>
    <w:rsid w:val="0046301A"/>
    <w:rsid w:val="00463A76"/>
    <w:rsid w:val="00465629"/>
    <w:rsid w:val="00466CAA"/>
    <w:rsid w:val="00470242"/>
    <w:rsid w:val="004703BA"/>
    <w:rsid w:val="00472054"/>
    <w:rsid w:val="004722FB"/>
    <w:rsid w:val="00475088"/>
    <w:rsid w:val="00477695"/>
    <w:rsid w:val="00482809"/>
    <w:rsid w:val="004931EA"/>
    <w:rsid w:val="004A201F"/>
    <w:rsid w:val="004A213A"/>
    <w:rsid w:val="004A2418"/>
    <w:rsid w:val="004A2BC3"/>
    <w:rsid w:val="004A5BAF"/>
    <w:rsid w:val="004A7A13"/>
    <w:rsid w:val="004B0D67"/>
    <w:rsid w:val="004B15E7"/>
    <w:rsid w:val="004B393E"/>
    <w:rsid w:val="004B7A4F"/>
    <w:rsid w:val="004C0A5E"/>
    <w:rsid w:val="004C1133"/>
    <w:rsid w:val="004C1EB8"/>
    <w:rsid w:val="004C307E"/>
    <w:rsid w:val="004C4713"/>
    <w:rsid w:val="004C4B50"/>
    <w:rsid w:val="004C5D4B"/>
    <w:rsid w:val="004D0862"/>
    <w:rsid w:val="004D0CE3"/>
    <w:rsid w:val="004D5646"/>
    <w:rsid w:val="004D580A"/>
    <w:rsid w:val="004E1247"/>
    <w:rsid w:val="004E521E"/>
    <w:rsid w:val="004E5812"/>
    <w:rsid w:val="004E7712"/>
    <w:rsid w:val="004E7727"/>
    <w:rsid w:val="004F11D4"/>
    <w:rsid w:val="004F2BC8"/>
    <w:rsid w:val="004F355A"/>
    <w:rsid w:val="004F4EAC"/>
    <w:rsid w:val="004F680B"/>
    <w:rsid w:val="004F718B"/>
    <w:rsid w:val="0050102B"/>
    <w:rsid w:val="005068B1"/>
    <w:rsid w:val="00506A23"/>
    <w:rsid w:val="0051122F"/>
    <w:rsid w:val="00511371"/>
    <w:rsid w:val="0051166B"/>
    <w:rsid w:val="00511F19"/>
    <w:rsid w:val="00520159"/>
    <w:rsid w:val="00520C1C"/>
    <w:rsid w:val="00521029"/>
    <w:rsid w:val="00521BA2"/>
    <w:rsid w:val="00524254"/>
    <w:rsid w:val="00524F66"/>
    <w:rsid w:val="005251B6"/>
    <w:rsid w:val="00526C2F"/>
    <w:rsid w:val="0053188A"/>
    <w:rsid w:val="00531E5B"/>
    <w:rsid w:val="0053200C"/>
    <w:rsid w:val="00536E80"/>
    <w:rsid w:val="005403F9"/>
    <w:rsid w:val="00542B7D"/>
    <w:rsid w:val="0054385D"/>
    <w:rsid w:val="00545C4B"/>
    <w:rsid w:val="0054602D"/>
    <w:rsid w:val="00546E13"/>
    <w:rsid w:val="00550671"/>
    <w:rsid w:val="00550A3F"/>
    <w:rsid w:val="005541EA"/>
    <w:rsid w:val="005547A7"/>
    <w:rsid w:val="0055492F"/>
    <w:rsid w:val="00554DE6"/>
    <w:rsid w:val="00563A82"/>
    <w:rsid w:val="0056571C"/>
    <w:rsid w:val="00565EBF"/>
    <w:rsid w:val="00570242"/>
    <w:rsid w:val="00573C55"/>
    <w:rsid w:val="00580453"/>
    <w:rsid w:val="00580692"/>
    <w:rsid w:val="00580984"/>
    <w:rsid w:val="0058408E"/>
    <w:rsid w:val="00585008"/>
    <w:rsid w:val="00590373"/>
    <w:rsid w:val="00590421"/>
    <w:rsid w:val="00592E04"/>
    <w:rsid w:val="00596038"/>
    <w:rsid w:val="005A49AA"/>
    <w:rsid w:val="005B49DE"/>
    <w:rsid w:val="005B4C9D"/>
    <w:rsid w:val="005B79C3"/>
    <w:rsid w:val="005C18FD"/>
    <w:rsid w:val="005C2464"/>
    <w:rsid w:val="005C6828"/>
    <w:rsid w:val="005D1462"/>
    <w:rsid w:val="005D50B7"/>
    <w:rsid w:val="005D6F06"/>
    <w:rsid w:val="005E334A"/>
    <w:rsid w:val="005E47CE"/>
    <w:rsid w:val="005F2289"/>
    <w:rsid w:val="005F4458"/>
    <w:rsid w:val="005F4B3D"/>
    <w:rsid w:val="005F5DA2"/>
    <w:rsid w:val="005F72DF"/>
    <w:rsid w:val="00603B28"/>
    <w:rsid w:val="0060407C"/>
    <w:rsid w:val="00605C17"/>
    <w:rsid w:val="00611E00"/>
    <w:rsid w:val="00611EC4"/>
    <w:rsid w:val="00616A99"/>
    <w:rsid w:val="006214F1"/>
    <w:rsid w:val="00621B4E"/>
    <w:rsid w:val="00622E04"/>
    <w:rsid w:val="00625A17"/>
    <w:rsid w:val="00626D91"/>
    <w:rsid w:val="006278EA"/>
    <w:rsid w:val="006347ED"/>
    <w:rsid w:val="00636B8B"/>
    <w:rsid w:val="00637CFE"/>
    <w:rsid w:val="0064308B"/>
    <w:rsid w:val="00647694"/>
    <w:rsid w:val="0065051C"/>
    <w:rsid w:val="00651DCB"/>
    <w:rsid w:val="0065210E"/>
    <w:rsid w:val="00657397"/>
    <w:rsid w:val="00657D4F"/>
    <w:rsid w:val="0066362E"/>
    <w:rsid w:val="006667AE"/>
    <w:rsid w:val="0067155C"/>
    <w:rsid w:val="0067291B"/>
    <w:rsid w:val="006729F7"/>
    <w:rsid w:val="00676C86"/>
    <w:rsid w:val="0067732F"/>
    <w:rsid w:val="00683EE1"/>
    <w:rsid w:val="006848FC"/>
    <w:rsid w:val="00684C97"/>
    <w:rsid w:val="00684D21"/>
    <w:rsid w:val="00687BC4"/>
    <w:rsid w:val="006920B3"/>
    <w:rsid w:val="00692AAF"/>
    <w:rsid w:val="0069329E"/>
    <w:rsid w:val="006938D6"/>
    <w:rsid w:val="006A30AC"/>
    <w:rsid w:val="006A4D2A"/>
    <w:rsid w:val="006A4E6B"/>
    <w:rsid w:val="006A5011"/>
    <w:rsid w:val="006B12C0"/>
    <w:rsid w:val="006B30CA"/>
    <w:rsid w:val="006B3282"/>
    <w:rsid w:val="006B45F8"/>
    <w:rsid w:val="006B6B45"/>
    <w:rsid w:val="006B6BE2"/>
    <w:rsid w:val="006B7DF8"/>
    <w:rsid w:val="006C1AC2"/>
    <w:rsid w:val="006C32BF"/>
    <w:rsid w:val="006C6270"/>
    <w:rsid w:val="006C6CE9"/>
    <w:rsid w:val="006D2B27"/>
    <w:rsid w:val="006D3CDB"/>
    <w:rsid w:val="006D4B8B"/>
    <w:rsid w:val="006E02C3"/>
    <w:rsid w:val="006E1BAA"/>
    <w:rsid w:val="006E4058"/>
    <w:rsid w:val="006F2643"/>
    <w:rsid w:val="006F2A36"/>
    <w:rsid w:val="006F3B85"/>
    <w:rsid w:val="006F4A78"/>
    <w:rsid w:val="006F51E6"/>
    <w:rsid w:val="006F6E3E"/>
    <w:rsid w:val="00701AAD"/>
    <w:rsid w:val="00702326"/>
    <w:rsid w:val="00702E39"/>
    <w:rsid w:val="00712519"/>
    <w:rsid w:val="00712930"/>
    <w:rsid w:val="00712E49"/>
    <w:rsid w:val="007151AB"/>
    <w:rsid w:val="0071669C"/>
    <w:rsid w:val="007166CA"/>
    <w:rsid w:val="00716FFB"/>
    <w:rsid w:val="0072019C"/>
    <w:rsid w:val="0072730C"/>
    <w:rsid w:val="00733805"/>
    <w:rsid w:val="00740598"/>
    <w:rsid w:val="00740E14"/>
    <w:rsid w:val="0074191B"/>
    <w:rsid w:val="00744EB2"/>
    <w:rsid w:val="007504C6"/>
    <w:rsid w:val="0075073E"/>
    <w:rsid w:val="00751CD1"/>
    <w:rsid w:val="00752FBE"/>
    <w:rsid w:val="00753B1B"/>
    <w:rsid w:val="00754CCF"/>
    <w:rsid w:val="00756F31"/>
    <w:rsid w:val="007571EE"/>
    <w:rsid w:val="00760153"/>
    <w:rsid w:val="007602D2"/>
    <w:rsid w:val="00762A37"/>
    <w:rsid w:val="00763753"/>
    <w:rsid w:val="00763B0A"/>
    <w:rsid w:val="00763E4D"/>
    <w:rsid w:val="00764A9F"/>
    <w:rsid w:val="007666E1"/>
    <w:rsid w:val="007754AB"/>
    <w:rsid w:val="00782CA0"/>
    <w:rsid w:val="00782F8E"/>
    <w:rsid w:val="00785D56"/>
    <w:rsid w:val="00787BBD"/>
    <w:rsid w:val="007910CF"/>
    <w:rsid w:val="0079220C"/>
    <w:rsid w:val="00792FD7"/>
    <w:rsid w:val="00794BDA"/>
    <w:rsid w:val="00795DE9"/>
    <w:rsid w:val="00796AAC"/>
    <w:rsid w:val="007A0C60"/>
    <w:rsid w:val="007A1D60"/>
    <w:rsid w:val="007A5FF4"/>
    <w:rsid w:val="007A645C"/>
    <w:rsid w:val="007B05C6"/>
    <w:rsid w:val="007B3730"/>
    <w:rsid w:val="007B5F8E"/>
    <w:rsid w:val="007B65FB"/>
    <w:rsid w:val="007B664D"/>
    <w:rsid w:val="007B781F"/>
    <w:rsid w:val="007B7DA1"/>
    <w:rsid w:val="007C0733"/>
    <w:rsid w:val="007C25B3"/>
    <w:rsid w:val="007C2B61"/>
    <w:rsid w:val="007C2C77"/>
    <w:rsid w:val="007C4A08"/>
    <w:rsid w:val="007C51E6"/>
    <w:rsid w:val="007C5C91"/>
    <w:rsid w:val="007C5E26"/>
    <w:rsid w:val="007C7A45"/>
    <w:rsid w:val="007D0594"/>
    <w:rsid w:val="007D3C3D"/>
    <w:rsid w:val="007D63A6"/>
    <w:rsid w:val="007D7D74"/>
    <w:rsid w:val="007E01A2"/>
    <w:rsid w:val="007E13EF"/>
    <w:rsid w:val="007E3A74"/>
    <w:rsid w:val="007E3B13"/>
    <w:rsid w:val="007E3DCC"/>
    <w:rsid w:val="007E7DEF"/>
    <w:rsid w:val="007F05BD"/>
    <w:rsid w:val="007F11A2"/>
    <w:rsid w:val="007F177F"/>
    <w:rsid w:val="007F2592"/>
    <w:rsid w:val="007F2774"/>
    <w:rsid w:val="007F5964"/>
    <w:rsid w:val="007F632A"/>
    <w:rsid w:val="00803782"/>
    <w:rsid w:val="00803A90"/>
    <w:rsid w:val="00805E4E"/>
    <w:rsid w:val="00817616"/>
    <w:rsid w:val="008219A3"/>
    <w:rsid w:val="00822C39"/>
    <w:rsid w:val="00825BC3"/>
    <w:rsid w:val="008266CB"/>
    <w:rsid w:val="00837C67"/>
    <w:rsid w:val="00837F75"/>
    <w:rsid w:val="008406A8"/>
    <w:rsid w:val="00841CE1"/>
    <w:rsid w:val="0084241D"/>
    <w:rsid w:val="008504AD"/>
    <w:rsid w:val="00850F75"/>
    <w:rsid w:val="00863AF5"/>
    <w:rsid w:val="00864D56"/>
    <w:rsid w:val="0086555D"/>
    <w:rsid w:val="00866D1C"/>
    <w:rsid w:val="00866E10"/>
    <w:rsid w:val="008672B7"/>
    <w:rsid w:val="00871BEF"/>
    <w:rsid w:val="008722F6"/>
    <w:rsid w:val="008737C9"/>
    <w:rsid w:val="00873BA8"/>
    <w:rsid w:val="00880286"/>
    <w:rsid w:val="008845EA"/>
    <w:rsid w:val="00885632"/>
    <w:rsid w:val="008859FE"/>
    <w:rsid w:val="008877C6"/>
    <w:rsid w:val="008918F6"/>
    <w:rsid w:val="00892916"/>
    <w:rsid w:val="00892C12"/>
    <w:rsid w:val="008A0B88"/>
    <w:rsid w:val="008A19F9"/>
    <w:rsid w:val="008A4138"/>
    <w:rsid w:val="008A46BE"/>
    <w:rsid w:val="008A5D93"/>
    <w:rsid w:val="008A5F0B"/>
    <w:rsid w:val="008A73F0"/>
    <w:rsid w:val="008B17DB"/>
    <w:rsid w:val="008B256D"/>
    <w:rsid w:val="008B7117"/>
    <w:rsid w:val="008B7C6B"/>
    <w:rsid w:val="008C0A22"/>
    <w:rsid w:val="008C154E"/>
    <w:rsid w:val="008C32EB"/>
    <w:rsid w:val="008C57BF"/>
    <w:rsid w:val="008C6940"/>
    <w:rsid w:val="008C7B8B"/>
    <w:rsid w:val="008D0AEC"/>
    <w:rsid w:val="008E316E"/>
    <w:rsid w:val="008E34C0"/>
    <w:rsid w:val="008E4B11"/>
    <w:rsid w:val="008E5F65"/>
    <w:rsid w:val="008E60D0"/>
    <w:rsid w:val="008E7929"/>
    <w:rsid w:val="008E7FD4"/>
    <w:rsid w:val="008F0A6F"/>
    <w:rsid w:val="008F1CDF"/>
    <w:rsid w:val="008F247E"/>
    <w:rsid w:val="008F3124"/>
    <w:rsid w:val="008F406E"/>
    <w:rsid w:val="00900362"/>
    <w:rsid w:val="00900740"/>
    <w:rsid w:val="00901F74"/>
    <w:rsid w:val="00902BD7"/>
    <w:rsid w:val="00906616"/>
    <w:rsid w:val="00906648"/>
    <w:rsid w:val="0090707F"/>
    <w:rsid w:val="00910AA8"/>
    <w:rsid w:val="00910BC2"/>
    <w:rsid w:val="00911939"/>
    <w:rsid w:val="00914F0A"/>
    <w:rsid w:val="009160C2"/>
    <w:rsid w:val="00921461"/>
    <w:rsid w:val="009218E8"/>
    <w:rsid w:val="00925766"/>
    <w:rsid w:val="009257A3"/>
    <w:rsid w:val="00925FD3"/>
    <w:rsid w:val="009264CA"/>
    <w:rsid w:val="009278D8"/>
    <w:rsid w:val="009333D6"/>
    <w:rsid w:val="0093517C"/>
    <w:rsid w:val="00941A43"/>
    <w:rsid w:val="00943EA9"/>
    <w:rsid w:val="0095049F"/>
    <w:rsid w:val="009556F4"/>
    <w:rsid w:val="009603D4"/>
    <w:rsid w:val="009604C8"/>
    <w:rsid w:val="00961755"/>
    <w:rsid w:val="00970ABD"/>
    <w:rsid w:val="009715E5"/>
    <w:rsid w:val="00972BEC"/>
    <w:rsid w:val="00973057"/>
    <w:rsid w:val="0098018B"/>
    <w:rsid w:val="00982990"/>
    <w:rsid w:val="0098336E"/>
    <w:rsid w:val="009833E2"/>
    <w:rsid w:val="0098539B"/>
    <w:rsid w:val="00985BC5"/>
    <w:rsid w:val="009864CF"/>
    <w:rsid w:val="00986693"/>
    <w:rsid w:val="00986C34"/>
    <w:rsid w:val="00990171"/>
    <w:rsid w:val="00993618"/>
    <w:rsid w:val="009A4A22"/>
    <w:rsid w:val="009A4CB1"/>
    <w:rsid w:val="009A5364"/>
    <w:rsid w:val="009A56D2"/>
    <w:rsid w:val="009A6868"/>
    <w:rsid w:val="009A79EA"/>
    <w:rsid w:val="009B1337"/>
    <w:rsid w:val="009B3F82"/>
    <w:rsid w:val="009C77E5"/>
    <w:rsid w:val="009D2396"/>
    <w:rsid w:val="009D74E5"/>
    <w:rsid w:val="009D7B06"/>
    <w:rsid w:val="009E26B1"/>
    <w:rsid w:val="009E6ED6"/>
    <w:rsid w:val="009E78D3"/>
    <w:rsid w:val="009F0308"/>
    <w:rsid w:val="009F2782"/>
    <w:rsid w:val="009F7063"/>
    <w:rsid w:val="009F7234"/>
    <w:rsid w:val="00A00EE7"/>
    <w:rsid w:val="00A013E2"/>
    <w:rsid w:val="00A01FEB"/>
    <w:rsid w:val="00A02982"/>
    <w:rsid w:val="00A055A1"/>
    <w:rsid w:val="00A0581F"/>
    <w:rsid w:val="00A133CF"/>
    <w:rsid w:val="00A14087"/>
    <w:rsid w:val="00A20F50"/>
    <w:rsid w:val="00A214C0"/>
    <w:rsid w:val="00A26C68"/>
    <w:rsid w:val="00A3311A"/>
    <w:rsid w:val="00A33D0C"/>
    <w:rsid w:val="00A34FD5"/>
    <w:rsid w:val="00A4018A"/>
    <w:rsid w:val="00A40210"/>
    <w:rsid w:val="00A43D72"/>
    <w:rsid w:val="00A44225"/>
    <w:rsid w:val="00A53A47"/>
    <w:rsid w:val="00A55865"/>
    <w:rsid w:val="00A55D1A"/>
    <w:rsid w:val="00A57101"/>
    <w:rsid w:val="00A60FC4"/>
    <w:rsid w:val="00A61488"/>
    <w:rsid w:val="00A700F8"/>
    <w:rsid w:val="00A72079"/>
    <w:rsid w:val="00A72C62"/>
    <w:rsid w:val="00A76D0B"/>
    <w:rsid w:val="00A76FF3"/>
    <w:rsid w:val="00A77A2E"/>
    <w:rsid w:val="00A77A55"/>
    <w:rsid w:val="00A800A4"/>
    <w:rsid w:val="00A81D28"/>
    <w:rsid w:val="00A81E70"/>
    <w:rsid w:val="00A8215B"/>
    <w:rsid w:val="00A851C8"/>
    <w:rsid w:val="00A9288F"/>
    <w:rsid w:val="00A93782"/>
    <w:rsid w:val="00A94D97"/>
    <w:rsid w:val="00A95033"/>
    <w:rsid w:val="00A952AA"/>
    <w:rsid w:val="00A952D9"/>
    <w:rsid w:val="00A9603C"/>
    <w:rsid w:val="00A964D5"/>
    <w:rsid w:val="00AA003E"/>
    <w:rsid w:val="00AA71D7"/>
    <w:rsid w:val="00AB0FA5"/>
    <w:rsid w:val="00AB10AB"/>
    <w:rsid w:val="00AB21CA"/>
    <w:rsid w:val="00AB478E"/>
    <w:rsid w:val="00AB496C"/>
    <w:rsid w:val="00AB6561"/>
    <w:rsid w:val="00AC5E51"/>
    <w:rsid w:val="00AC6DFB"/>
    <w:rsid w:val="00AC74BE"/>
    <w:rsid w:val="00AC7D89"/>
    <w:rsid w:val="00AD1A14"/>
    <w:rsid w:val="00AD41DE"/>
    <w:rsid w:val="00AD6388"/>
    <w:rsid w:val="00AD63FC"/>
    <w:rsid w:val="00AE0F85"/>
    <w:rsid w:val="00AE2165"/>
    <w:rsid w:val="00AE2193"/>
    <w:rsid w:val="00AE258F"/>
    <w:rsid w:val="00AE274F"/>
    <w:rsid w:val="00AE2A91"/>
    <w:rsid w:val="00AE381B"/>
    <w:rsid w:val="00AE520F"/>
    <w:rsid w:val="00AF012D"/>
    <w:rsid w:val="00AF253C"/>
    <w:rsid w:val="00AF6356"/>
    <w:rsid w:val="00B012F2"/>
    <w:rsid w:val="00B04DF0"/>
    <w:rsid w:val="00B056B8"/>
    <w:rsid w:val="00B060B7"/>
    <w:rsid w:val="00B064E9"/>
    <w:rsid w:val="00B06825"/>
    <w:rsid w:val="00B07EEA"/>
    <w:rsid w:val="00B10E04"/>
    <w:rsid w:val="00B1135D"/>
    <w:rsid w:val="00B1269D"/>
    <w:rsid w:val="00B14935"/>
    <w:rsid w:val="00B21620"/>
    <w:rsid w:val="00B223F1"/>
    <w:rsid w:val="00B22F16"/>
    <w:rsid w:val="00B22FF1"/>
    <w:rsid w:val="00B276C0"/>
    <w:rsid w:val="00B27D6A"/>
    <w:rsid w:val="00B32D86"/>
    <w:rsid w:val="00B34157"/>
    <w:rsid w:val="00B34332"/>
    <w:rsid w:val="00B441FE"/>
    <w:rsid w:val="00B45418"/>
    <w:rsid w:val="00B4690F"/>
    <w:rsid w:val="00B4706F"/>
    <w:rsid w:val="00B5419C"/>
    <w:rsid w:val="00B54872"/>
    <w:rsid w:val="00B609DF"/>
    <w:rsid w:val="00B613B5"/>
    <w:rsid w:val="00B6154C"/>
    <w:rsid w:val="00B61A7D"/>
    <w:rsid w:val="00B61D1F"/>
    <w:rsid w:val="00B62B2F"/>
    <w:rsid w:val="00B71517"/>
    <w:rsid w:val="00B72A00"/>
    <w:rsid w:val="00B732AB"/>
    <w:rsid w:val="00B76F14"/>
    <w:rsid w:val="00B80F75"/>
    <w:rsid w:val="00B81FC6"/>
    <w:rsid w:val="00B83676"/>
    <w:rsid w:val="00B863D6"/>
    <w:rsid w:val="00B90368"/>
    <w:rsid w:val="00B928D1"/>
    <w:rsid w:val="00B95C15"/>
    <w:rsid w:val="00B979B6"/>
    <w:rsid w:val="00BA1873"/>
    <w:rsid w:val="00BA476E"/>
    <w:rsid w:val="00BB076E"/>
    <w:rsid w:val="00BB29A1"/>
    <w:rsid w:val="00BB37CD"/>
    <w:rsid w:val="00BB3E70"/>
    <w:rsid w:val="00BB73ED"/>
    <w:rsid w:val="00BB77CA"/>
    <w:rsid w:val="00BC1058"/>
    <w:rsid w:val="00BC1D3F"/>
    <w:rsid w:val="00BC305F"/>
    <w:rsid w:val="00BC3585"/>
    <w:rsid w:val="00BC5E8D"/>
    <w:rsid w:val="00BC6D84"/>
    <w:rsid w:val="00BC7DB9"/>
    <w:rsid w:val="00BD21C4"/>
    <w:rsid w:val="00BD6CC8"/>
    <w:rsid w:val="00BE054A"/>
    <w:rsid w:val="00BE0593"/>
    <w:rsid w:val="00BE06B1"/>
    <w:rsid w:val="00BE070C"/>
    <w:rsid w:val="00BE0B74"/>
    <w:rsid w:val="00BE20A2"/>
    <w:rsid w:val="00BE2190"/>
    <w:rsid w:val="00BE409D"/>
    <w:rsid w:val="00BE59EC"/>
    <w:rsid w:val="00BE759B"/>
    <w:rsid w:val="00BF1CF6"/>
    <w:rsid w:val="00BF3D7C"/>
    <w:rsid w:val="00BF435E"/>
    <w:rsid w:val="00BF6F0F"/>
    <w:rsid w:val="00BF7B1E"/>
    <w:rsid w:val="00C00681"/>
    <w:rsid w:val="00C017E8"/>
    <w:rsid w:val="00C02F73"/>
    <w:rsid w:val="00C03CC8"/>
    <w:rsid w:val="00C0778C"/>
    <w:rsid w:val="00C124FC"/>
    <w:rsid w:val="00C133DF"/>
    <w:rsid w:val="00C13D37"/>
    <w:rsid w:val="00C16CD5"/>
    <w:rsid w:val="00C17536"/>
    <w:rsid w:val="00C17A81"/>
    <w:rsid w:val="00C20EC9"/>
    <w:rsid w:val="00C22008"/>
    <w:rsid w:val="00C24509"/>
    <w:rsid w:val="00C32666"/>
    <w:rsid w:val="00C35971"/>
    <w:rsid w:val="00C35DF2"/>
    <w:rsid w:val="00C37609"/>
    <w:rsid w:val="00C40A2B"/>
    <w:rsid w:val="00C413B7"/>
    <w:rsid w:val="00C51D44"/>
    <w:rsid w:val="00C52BC6"/>
    <w:rsid w:val="00C54F71"/>
    <w:rsid w:val="00C57FC8"/>
    <w:rsid w:val="00C6223E"/>
    <w:rsid w:val="00C66F25"/>
    <w:rsid w:val="00C70BC1"/>
    <w:rsid w:val="00C70D93"/>
    <w:rsid w:val="00C71E10"/>
    <w:rsid w:val="00C810D7"/>
    <w:rsid w:val="00C81F6F"/>
    <w:rsid w:val="00C82573"/>
    <w:rsid w:val="00C82D54"/>
    <w:rsid w:val="00C874DE"/>
    <w:rsid w:val="00C95070"/>
    <w:rsid w:val="00CA03FF"/>
    <w:rsid w:val="00CA2910"/>
    <w:rsid w:val="00CA2A13"/>
    <w:rsid w:val="00CA4949"/>
    <w:rsid w:val="00CA5A5B"/>
    <w:rsid w:val="00CA73B0"/>
    <w:rsid w:val="00CA7EDD"/>
    <w:rsid w:val="00CB26DF"/>
    <w:rsid w:val="00CC3A6B"/>
    <w:rsid w:val="00CC3F0B"/>
    <w:rsid w:val="00CC686A"/>
    <w:rsid w:val="00CD4513"/>
    <w:rsid w:val="00CD5012"/>
    <w:rsid w:val="00CD5A24"/>
    <w:rsid w:val="00CD6CCB"/>
    <w:rsid w:val="00CD70C4"/>
    <w:rsid w:val="00CD7304"/>
    <w:rsid w:val="00CE1093"/>
    <w:rsid w:val="00CE67A0"/>
    <w:rsid w:val="00CF209F"/>
    <w:rsid w:val="00CF2FFB"/>
    <w:rsid w:val="00CF41DE"/>
    <w:rsid w:val="00CF53B4"/>
    <w:rsid w:val="00CF53DB"/>
    <w:rsid w:val="00CF6105"/>
    <w:rsid w:val="00CF6C16"/>
    <w:rsid w:val="00D0037F"/>
    <w:rsid w:val="00D0053C"/>
    <w:rsid w:val="00D0089A"/>
    <w:rsid w:val="00D010B9"/>
    <w:rsid w:val="00D01EF7"/>
    <w:rsid w:val="00D02EE4"/>
    <w:rsid w:val="00D03A84"/>
    <w:rsid w:val="00D0458D"/>
    <w:rsid w:val="00D077A4"/>
    <w:rsid w:val="00D1400F"/>
    <w:rsid w:val="00D14946"/>
    <w:rsid w:val="00D15617"/>
    <w:rsid w:val="00D17CD1"/>
    <w:rsid w:val="00D20893"/>
    <w:rsid w:val="00D216FD"/>
    <w:rsid w:val="00D220DC"/>
    <w:rsid w:val="00D226D0"/>
    <w:rsid w:val="00D25AD5"/>
    <w:rsid w:val="00D303CB"/>
    <w:rsid w:val="00D30ED0"/>
    <w:rsid w:val="00D3200A"/>
    <w:rsid w:val="00D33258"/>
    <w:rsid w:val="00D34499"/>
    <w:rsid w:val="00D35933"/>
    <w:rsid w:val="00D35E72"/>
    <w:rsid w:val="00D35FCA"/>
    <w:rsid w:val="00D406E4"/>
    <w:rsid w:val="00D41084"/>
    <w:rsid w:val="00D4169F"/>
    <w:rsid w:val="00D4397F"/>
    <w:rsid w:val="00D47A94"/>
    <w:rsid w:val="00D50760"/>
    <w:rsid w:val="00D52701"/>
    <w:rsid w:val="00D53787"/>
    <w:rsid w:val="00D54C39"/>
    <w:rsid w:val="00D5519C"/>
    <w:rsid w:val="00D55B9C"/>
    <w:rsid w:val="00D60A55"/>
    <w:rsid w:val="00D62DA9"/>
    <w:rsid w:val="00D6432E"/>
    <w:rsid w:val="00D7074E"/>
    <w:rsid w:val="00D72875"/>
    <w:rsid w:val="00D72A6D"/>
    <w:rsid w:val="00D72CBA"/>
    <w:rsid w:val="00D73D50"/>
    <w:rsid w:val="00D80665"/>
    <w:rsid w:val="00D8318D"/>
    <w:rsid w:val="00D841D3"/>
    <w:rsid w:val="00D8571D"/>
    <w:rsid w:val="00D859CA"/>
    <w:rsid w:val="00D85C8D"/>
    <w:rsid w:val="00D866CA"/>
    <w:rsid w:val="00D87322"/>
    <w:rsid w:val="00D87863"/>
    <w:rsid w:val="00D90EB7"/>
    <w:rsid w:val="00D963E8"/>
    <w:rsid w:val="00D9701E"/>
    <w:rsid w:val="00DA2F4A"/>
    <w:rsid w:val="00DA4D20"/>
    <w:rsid w:val="00DA61BE"/>
    <w:rsid w:val="00DA62EE"/>
    <w:rsid w:val="00DB102D"/>
    <w:rsid w:val="00DC08DB"/>
    <w:rsid w:val="00DC142E"/>
    <w:rsid w:val="00DC2F74"/>
    <w:rsid w:val="00DC556B"/>
    <w:rsid w:val="00DC6A92"/>
    <w:rsid w:val="00DD0226"/>
    <w:rsid w:val="00DD05B3"/>
    <w:rsid w:val="00DD3525"/>
    <w:rsid w:val="00DD3702"/>
    <w:rsid w:val="00DD4E17"/>
    <w:rsid w:val="00DD7CC9"/>
    <w:rsid w:val="00DE122B"/>
    <w:rsid w:val="00DE26EB"/>
    <w:rsid w:val="00DF2D78"/>
    <w:rsid w:val="00DF4678"/>
    <w:rsid w:val="00DF61DD"/>
    <w:rsid w:val="00E01764"/>
    <w:rsid w:val="00E02F91"/>
    <w:rsid w:val="00E0482A"/>
    <w:rsid w:val="00E10BE7"/>
    <w:rsid w:val="00E12F44"/>
    <w:rsid w:val="00E1358D"/>
    <w:rsid w:val="00E15AFC"/>
    <w:rsid w:val="00E15FB1"/>
    <w:rsid w:val="00E16F76"/>
    <w:rsid w:val="00E17960"/>
    <w:rsid w:val="00E17FD1"/>
    <w:rsid w:val="00E17FF2"/>
    <w:rsid w:val="00E219E2"/>
    <w:rsid w:val="00E22B9A"/>
    <w:rsid w:val="00E2309B"/>
    <w:rsid w:val="00E2497E"/>
    <w:rsid w:val="00E257F7"/>
    <w:rsid w:val="00E2606D"/>
    <w:rsid w:val="00E3148A"/>
    <w:rsid w:val="00E3244E"/>
    <w:rsid w:val="00E32B57"/>
    <w:rsid w:val="00E3334C"/>
    <w:rsid w:val="00E36FCA"/>
    <w:rsid w:val="00E374B4"/>
    <w:rsid w:val="00E40159"/>
    <w:rsid w:val="00E414C9"/>
    <w:rsid w:val="00E429A4"/>
    <w:rsid w:val="00E447CB"/>
    <w:rsid w:val="00E44E91"/>
    <w:rsid w:val="00E4705B"/>
    <w:rsid w:val="00E475A5"/>
    <w:rsid w:val="00E50815"/>
    <w:rsid w:val="00E50BC3"/>
    <w:rsid w:val="00E5157A"/>
    <w:rsid w:val="00E51774"/>
    <w:rsid w:val="00E5414A"/>
    <w:rsid w:val="00E60AA1"/>
    <w:rsid w:val="00E617C4"/>
    <w:rsid w:val="00E6507A"/>
    <w:rsid w:val="00E65D64"/>
    <w:rsid w:val="00E67A9D"/>
    <w:rsid w:val="00E70725"/>
    <w:rsid w:val="00E82978"/>
    <w:rsid w:val="00E86FB3"/>
    <w:rsid w:val="00E87E95"/>
    <w:rsid w:val="00E90498"/>
    <w:rsid w:val="00E93364"/>
    <w:rsid w:val="00E95FDD"/>
    <w:rsid w:val="00EA0680"/>
    <w:rsid w:val="00EA1BAE"/>
    <w:rsid w:val="00EB16D3"/>
    <w:rsid w:val="00EB28E4"/>
    <w:rsid w:val="00EB2BC8"/>
    <w:rsid w:val="00EC355B"/>
    <w:rsid w:val="00EC364A"/>
    <w:rsid w:val="00EC3B45"/>
    <w:rsid w:val="00EC7F3C"/>
    <w:rsid w:val="00ED02C9"/>
    <w:rsid w:val="00ED190E"/>
    <w:rsid w:val="00ED1EF9"/>
    <w:rsid w:val="00ED2B0B"/>
    <w:rsid w:val="00ED2B32"/>
    <w:rsid w:val="00ED3006"/>
    <w:rsid w:val="00EE2D3C"/>
    <w:rsid w:val="00EE303B"/>
    <w:rsid w:val="00EF16CD"/>
    <w:rsid w:val="00EF37D4"/>
    <w:rsid w:val="00EF7176"/>
    <w:rsid w:val="00EF7A06"/>
    <w:rsid w:val="00F00F93"/>
    <w:rsid w:val="00F106C5"/>
    <w:rsid w:val="00F11ED9"/>
    <w:rsid w:val="00F13E7E"/>
    <w:rsid w:val="00F21D85"/>
    <w:rsid w:val="00F25483"/>
    <w:rsid w:val="00F26105"/>
    <w:rsid w:val="00F27EFB"/>
    <w:rsid w:val="00F32151"/>
    <w:rsid w:val="00F34339"/>
    <w:rsid w:val="00F36F0B"/>
    <w:rsid w:val="00F402BF"/>
    <w:rsid w:val="00F4049A"/>
    <w:rsid w:val="00F4376E"/>
    <w:rsid w:val="00F43E3D"/>
    <w:rsid w:val="00F46BD6"/>
    <w:rsid w:val="00F50DF8"/>
    <w:rsid w:val="00F536B9"/>
    <w:rsid w:val="00F55507"/>
    <w:rsid w:val="00F57DAC"/>
    <w:rsid w:val="00F606CE"/>
    <w:rsid w:val="00F62C97"/>
    <w:rsid w:val="00F6559F"/>
    <w:rsid w:val="00F6567B"/>
    <w:rsid w:val="00F65F7F"/>
    <w:rsid w:val="00F73F19"/>
    <w:rsid w:val="00F73FBA"/>
    <w:rsid w:val="00F756A0"/>
    <w:rsid w:val="00F85EC7"/>
    <w:rsid w:val="00F9520F"/>
    <w:rsid w:val="00FA3651"/>
    <w:rsid w:val="00FA38A7"/>
    <w:rsid w:val="00FA6261"/>
    <w:rsid w:val="00FA73B0"/>
    <w:rsid w:val="00FB03E5"/>
    <w:rsid w:val="00FB0E27"/>
    <w:rsid w:val="00FB184C"/>
    <w:rsid w:val="00FB28AD"/>
    <w:rsid w:val="00FB2946"/>
    <w:rsid w:val="00FB7AD0"/>
    <w:rsid w:val="00FC0F8F"/>
    <w:rsid w:val="00FC1AB4"/>
    <w:rsid w:val="00FC2073"/>
    <w:rsid w:val="00FC2E59"/>
    <w:rsid w:val="00FC3B77"/>
    <w:rsid w:val="00FC3FFA"/>
    <w:rsid w:val="00FC49D0"/>
    <w:rsid w:val="00FC5461"/>
    <w:rsid w:val="00FC5E9C"/>
    <w:rsid w:val="00FC5F0B"/>
    <w:rsid w:val="00FC760A"/>
    <w:rsid w:val="00FD5A94"/>
    <w:rsid w:val="00FD7574"/>
    <w:rsid w:val="00FE0A48"/>
    <w:rsid w:val="00FE6BC8"/>
    <w:rsid w:val="00FF0687"/>
    <w:rsid w:val="00FF439F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117F47"/>
  <w15:docId w15:val="{7B717FEB-568E-4DCA-9A3C-2CA55F25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58D"/>
    <w:pPr>
      <w:suppressAutoHyphens/>
      <w:spacing w:before="120" w:after="0" w:line="288" w:lineRule="auto"/>
      <w:jc w:val="both"/>
    </w:pPr>
    <w:rPr>
      <w:rFonts w:ascii="Tahoma" w:eastAsia="Times New Roman" w:hAnsi="Tahoma" w:cs="Tahom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358D"/>
    <w:pPr>
      <w:keepNext/>
      <w:suppressAutoHyphens w:val="0"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1358D"/>
    <w:pPr>
      <w:keepNext/>
      <w:spacing w:before="240" w:after="6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1358D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E1358D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iPriority w:val="99"/>
    <w:rsid w:val="00E1358D"/>
    <w:pPr>
      <w:spacing w:before="0" w:line="240" w:lineRule="auto"/>
      <w:jc w:val="left"/>
    </w:pPr>
    <w:rPr>
      <w:rFonts w:ascii="Arial" w:hAnsi="Arial"/>
      <w:sz w:val="16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E1358D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E1358D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0458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58D"/>
    <w:rPr>
      <w:rFonts w:ascii="Tahoma" w:eastAsia="Times New Roman" w:hAnsi="Tahoma" w:cs="Tahom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0458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58D"/>
    <w:rPr>
      <w:rFonts w:ascii="Tahoma" w:eastAsia="Times New Roman" w:hAnsi="Tahoma" w:cs="Tahom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307"/>
    <w:pPr>
      <w:spacing w:before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07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5,Numerowanie,Akapit z listą11,Numbered Para 1,No Spacing1,List Paragraph Char Char Char,Indicator Text,Listaszerű bekezdés1,List Paragraph à moi,Bullet 1"/>
    <w:basedOn w:val="Normalny"/>
    <w:link w:val="AkapitzlistZnak"/>
    <w:uiPriority w:val="34"/>
    <w:qFormat/>
    <w:rsid w:val="00BB37CD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5 Znak,Numerowanie Znak,Akapit z listą11 Znak,Numbered Para 1 Znak,No Spacing1 Znak,List Paragraph Char Char Char Znak,Indicator Text Znak"/>
    <w:basedOn w:val="Domylnaczcionkaakapitu"/>
    <w:link w:val="Akapitzlist"/>
    <w:uiPriority w:val="34"/>
    <w:qFormat/>
    <w:locked/>
    <w:rsid w:val="00BB37CD"/>
    <w:rPr>
      <w:rFonts w:ascii="Tahoma" w:eastAsia="Times New Roman" w:hAnsi="Tahoma" w:cs="Tahoma"/>
      <w:sz w:val="18"/>
      <w:szCs w:val="18"/>
    </w:rPr>
  </w:style>
  <w:style w:type="paragraph" w:styleId="Poprawka">
    <w:name w:val="Revision"/>
    <w:hidden/>
    <w:uiPriority w:val="99"/>
    <w:semiHidden/>
    <w:rsid w:val="000F15D4"/>
    <w:pPr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Default">
    <w:name w:val="Default"/>
    <w:qFormat/>
    <w:rsid w:val="0002630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uiPriority w:val="99"/>
    <w:rsid w:val="009A56D2"/>
    <w:rPr>
      <w:color w:val="0000FF"/>
      <w:u w:val="single"/>
    </w:rPr>
  </w:style>
  <w:style w:type="paragraph" w:customStyle="1" w:styleId="ZnakZnak3">
    <w:name w:val="Znak Znak3"/>
    <w:basedOn w:val="Normalny"/>
    <w:rsid w:val="00D80665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3">
    <w:name w:val="Znak Znak33"/>
    <w:basedOn w:val="Normalny"/>
    <w:rsid w:val="00D3200A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2">
    <w:name w:val="Znak Znak32"/>
    <w:basedOn w:val="Normalny"/>
    <w:rsid w:val="00CC686A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1">
    <w:name w:val="Znak Znak31"/>
    <w:basedOn w:val="Normalny"/>
    <w:uiPriority w:val="99"/>
    <w:rsid w:val="001A5A60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0">
    <w:name w:val="Znak Znak3"/>
    <w:basedOn w:val="Normalny"/>
    <w:uiPriority w:val="99"/>
    <w:rsid w:val="00C17A81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4">
    <w:name w:val="Znak Znak3"/>
    <w:basedOn w:val="Normalny"/>
    <w:uiPriority w:val="99"/>
    <w:rsid w:val="00961755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5">
    <w:name w:val="Znak Znak3"/>
    <w:basedOn w:val="Normalny"/>
    <w:uiPriority w:val="99"/>
    <w:rsid w:val="00C03CC8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6">
    <w:name w:val="Znak Znak3"/>
    <w:basedOn w:val="Normalny"/>
    <w:uiPriority w:val="99"/>
    <w:rsid w:val="00DA2F4A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paragraph" w:customStyle="1" w:styleId="ZnakZnak37">
    <w:name w:val="Znak Znak3"/>
    <w:basedOn w:val="Normalny"/>
    <w:uiPriority w:val="99"/>
    <w:rsid w:val="00245B11"/>
    <w:pPr>
      <w:suppressAutoHyphens w:val="0"/>
      <w:spacing w:before="0" w:line="360" w:lineRule="auto"/>
    </w:pPr>
    <w:rPr>
      <w:rFonts w:ascii="Verdana" w:hAnsi="Verdana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E31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82B23-90C8-45B7-BC31-30D53F39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1980</Words>
  <Characters>11881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Doroszkiewicz</dc:creator>
  <cp:lastModifiedBy>Izabela Białousz</cp:lastModifiedBy>
  <cp:revision>8</cp:revision>
  <cp:lastPrinted>2023-05-31T12:51:00Z</cp:lastPrinted>
  <dcterms:created xsi:type="dcterms:W3CDTF">2023-06-06T13:15:00Z</dcterms:created>
  <dcterms:modified xsi:type="dcterms:W3CDTF">2024-09-02T12:18:00Z</dcterms:modified>
</cp:coreProperties>
</file>